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00448" w14:textId="77777777" w:rsidR="003724A8" w:rsidRPr="007A5C5F" w:rsidRDefault="003724A8" w:rsidP="003724A8">
      <w:pPr>
        <w:rPr>
          <w:lang w:val="en-GB"/>
        </w:rPr>
      </w:pPr>
    </w:p>
    <w:p w14:paraId="2D71118E" w14:textId="77777777" w:rsidR="003724A8" w:rsidRPr="007A5C5F" w:rsidRDefault="003724A8" w:rsidP="003724A8">
      <w:pPr>
        <w:rPr>
          <w:lang w:val="en-GB"/>
        </w:rPr>
      </w:pPr>
    </w:p>
    <w:p w14:paraId="65BB2E6E" w14:textId="65E30C1E" w:rsidR="003724A8" w:rsidRPr="007A5C5F" w:rsidRDefault="003724A8" w:rsidP="003724A8">
      <w:pPr>
        <w:rPr>
          <w:lang w:val="en-GB"/>
        </w:rPr>
      </w:pPr>
    </w:p>
    <w:p w14:paraId="5254D794" w14:textId="77777777" w:rsidR="00163514" w:rsidRPr="007A5C5F" w:rsidRDefault="00163514" w:rsidP="003724A8">
      <w:pPr>
        <w:rPr>
          <w:lang w:val="en-GB"/>
        </w:rPr>
      </w:pPr>
    </w:p>
    <w:p w14:paraId="439BAA10" w14:textId="77777777" w:rsidR="00EA79BF" w:rsidRPr="007A5C5F" w:rsidRDefault="00EA79BF" w:rsidP="00EA79BF">
      <w:pPr>
        <w:rPr>
          <w:lang w:val="en-GB"/>
        </w:rPr>
      </w:pPr>
    </w:p>
    <w:p w14:paraId="45D806F9" w14:textId="77777777" w:rsidR="00EA79BF" w:rsidRPr="007A5C5F" w:rsidRDefault="00EA79BF" w:rsidP="00EA79BF">
      <w:pPr>
        <w:rPr>
          <w:lang w:val="en-GB"/>
        </w:rPr>
      </w:pPr>
    </w:p>
    <w:p w14:paraId="0B904C29" w14:textId="77777777" w:rsidR="00EA79BF" w:rsidRPr="007A5C5F" w:rsidRDefault="00EA79BF" w:rsidP="00EA79BF">
      <w:pPr>
        <w:rPr>
          <w:lang w:val="en-GB"/>
        </w:rPr>
      </w:pPr>
    </w:p>
    <w:p w14:paraId="39C6823C" w14:textId="77777777" w:rsidR="00EA79BF" w:rsidRPr="007A5C5F" w:rsidRDefault="00EA79BF" w:rsidP="00EA79BF">
      <w:pPr>
        <w:pStyle w:val="Subtitle"/>
        <w:rPr>
          <w:rFonts w:ascii="Times New Roman" w:hAnsi="Times New Roman" w:cs="Times New Roman"/>
          <w:lang w:val="en-GB"/>
        </w:rPr>
      </w:pPr>
      <w:r w:rsidRPr="007A5C5F">
        <w:rPr>
          <w:rFonts w:ascii="Times New Roman" w:hAnsi="Times New Roman" w:cs="Times New Roman"/>
          <w:lang w:val="en-GB"/>
        </w:rPr>
        <w:t>MID-TERM/FINAL</w:t>
      </w:r>
      <w:r w:rsidRPr="007A5C5F">
        <w:rPr>
          <w:rFonts w:ascii="Times New Roman" w:hAnsi="Times New Roman" w:cs="Times New Roman"/>
          <w:lang w:val="en-GB"/>
        </w:rPr>
        <w:br/>
        <w:t>INDEPENDENT PROJECT EVALUATION</w:t>
      </w:r>
    </w:p>
    <w:p w14:paraId="0F7EFA43" w14:textId="77777777" w:rsidR="00EA79BF" w:rsidRPr="007A5C5F" w:rsidRDefault="00EA79BF" w:rsidP="00EA79BF">
      <w:pPr>
        <w:jc w:val="center"/>
        <w:rPr>
          <w:lang w:val="en-GB"/>
        </w:rPr>
      </w:pPr>
    </w:p>
    <w:p w14:paraId="1553943D" w14:textId="77777777" w:rsidR="00EA79BF" w:rsidRPr="007A5C5F" w:rsidRDefault="00EA79BF" w:rsidP="00EA79BF">
      <w:pPr>
        <w:pStyle w:val="Title"/>
        <w:rPr>
          <w:rFonts w:ascii="Times New Roman" w:hAnsi="Times New Roman" w:cs="Times New Roman"/>
          <w:lang w:val="en-GB"/>
        </w:rPr>
      </w:pPr>
      <w:r w:rsidRPr="007A5C5F">
        <w:rPr>
          <w:rFonts w:ascii="Times New Roman" w:hAnsi="Times New Roman" w:cs="Times New Roman"/>
          <w:lang w:val="en-GB"/>
        </w:rPr>
        <w:t>EU – Sri Lanka Justice Reform Programme – JURE</w:t>
      </w:r>
    </w:p>
    <w:p w14:paraId="426AAEF8" w14:textId="77777777" w:rsidR="00EA79BF" w:rsidRPr="007A5C5F" w:rsidRDefault="00EA79BF" w:rsidP="00EA79BF">
      <w:pPr>
        <w:jc w:val="center"/>
        <w:rPr>
          <w:lang w:val="en-GB"/>
        </w:rPr>
      </w:pPr>
    </w:p>
    <w:p w14:paraId="2103CEA6" w14:textId="77777777" w:rsidR="00EA79BF" w:rsidRPr="007A5C5F" w:rsidRDefault="00EA79BF" w:rsidP="00EA79BF">
      <w:pPr>
        <w:rPr>
          <w:lang w:val="en-GB"/>
        </w:rPr>
      </w:pPr>
    </w:p>
    <w:p w14:paraId="2A1B7219" w14:textId="77777777" w:rsidR="00EA79BF" w:rsidRPr="007A5C5F" w:rsidRDefault="00EA79BF" w:rsidP="00EA79BF">
      <w:pPr>
        <w:rPr>
          <w:lang w:val="en-GB"/>
        </w:rPr>
      </w:pPr>
    </w:p>
    <w:p w14:paraId="52722F8A" w14:textId="77777777" w:rsidR="00EC302A" w:rsidRDefault="00EC302A" w:rsidP="00EC302A">
      <w:pPr>
        <w:jc w:val="both"/>
        <w:rPr>
          <w:lang w:val="en-GB"/>
        </w:rPr>
      </w:pPr>
    </w:p>
    <w:p w14:paraId="3C83A1E9" w14:textId="77777777" w:rsidR="00EC302A" w:rsidRDefault="00EC302A" w:rsidP="00EC302A">
      <w:pPr>
        <w:jc w:val="both"/>
        <w:rPr>
          <w:lang w:val="en-GB"/>
        </w:rPr>
      </w:pPr>
    </w:p>
    <w:p w14:paraId="63439E28" w14:textId="77777777" w:rsidR="00EC302A" w:rsidRDefault="00EC302A" w:rsidP="00EC302A">
      <w:pPr>
        <w:jc w:val="both"/>
        <w:rPr>
          <w:lang w:val="en-GB"/>
        </w:rPr>
      </w:pPr>
    </w:p>
    <w:p w14:paraId="341504A7" w14:textId="77777777" w:rsidR="00EC302A" w:rsidRDefault="00EC302A" w:rsidP="00EC302A">
      <w:pPr>
        <w:jc w:val="both"/>
        <w:rPr>
          <w:lang w:val="en-GB"/>
        </w:rPr>
      </w:pPr>
    </w:p>
    <w:p w14:paraId="78D0D0D7" w14:textId="77777777" w:rsidR="00EC302A" w:rsidRDefault="00EC302A" w:rsidP="00EC302A">
      <w:pPr>
        <w:jc w:val="both"/>
        <w:rPr>
          <w:lang w:val="en-GB"/>
        </w:rPr>
      </w:pPr>
    </w:p>
    <w:p w14:paraId="63991034" w14:textId="77777777" w:rsidR="00EC302A" w:rsidRDefault="00EC302A" w:rsidP="00EC302A">
      <w:pPr>
        <w:jc w:val="both"/>
        <w:rPr>
          <w:lang w:val="en-GB"/>
        </w:rPr>
      </w:pPr>
    </w:p>
    <w:p w14:paraId="1A2B630B" w14:textId="77777777" w:rsidR="00EC302A" w:rsidRDefault="00EC302A" w:rsidP="00EC302A">
      <w:pPr>
        <w:jc w:val="both"/>
        <w:rPr>
          <w:lang w:val="en-GB"/>
        </w:rPr>
      </w:pPr>
    </w:p>
    <w:p w14:paraId="016846FF" w14:textId="77777777" w:rsidR="00EC302A" w:rsidRDefault="00EC302A" w:rsidP="00EC302A">
      <w:pPr>
        <w:jc w:val="both"/>
        <w:rPr>
          <w:lang w:val="en-GB"/>
        </w:rPr>
      </w:pPr>
    </w:p>
    <w:p w14:paraId="5A9730B1" w14:textId="77777777" w:rsidR="00EC302A" w:rsidRDefault="00EC302A" w:rsidP="00EC302A">
      <w:pPr>
        <w:jc w:val="both"/>
        <w:rPr>
          <w:lang w:val="en-GB"/>
        </w:rPr>
      </w:pPr>
    </w:p>
    <w:p w14:paraId="560F88ED" w14:textId="77777777" w:rsidR="00EC302A" w:rsidRDefault="00EC302A" w:rsidP="00EC302A">
      <w:pPr>
        <w:jc w:val="both"/>
        <w:rPr>
          <w:lang w:val="en-GB"/>
        </w:rPr>
      </w:pPr>
    </w:p>
    <w:p w14:paraId="2F352B4E" w14:textId="77777777" w:rsidR="00EC302A" w:rsidRDefault="00EC302A" w:rsidP="00EC302A">
      <w:pPr>
        <w:jc w:val="both"/>
        <w:rPr>
          <w:lang w:val="en-GB"/>
        </w:rPr>
      </w:pPr>
    </w:p>
    <w:p w14:paraId="3171BDA0" w14:textId="77777777" w:rsidR="00EC302A" w:rsidRDefault="00EC302A" w:rsidP="00EC302A">
      <w:pPr>
        <w:jc w:val="both"/>
        <w:rPr>
          <w:lang w:val="en-GB"/>
        </w:rPr>
      </w:pPr>
    </w:p>
    <w:p w14:paraId="3A530521" w14:textId="77777777" w:rsidR="00EC302A" w:rsidRDefault="00EC302A" w:rsidP="00EC302A">
      <w:pPr>
        <w:jc w:val="both"/>
        <w:rPr>
          <w:lang w:val="en-GB"/>
        </w:rPr>
      </w:pPr>
    </w:p>
    <w:p w14:paraId="65EFFF53" w14:textId="77777777" w:rsidR="00EC302A" w:rsidRDefault="00EC302A" w:rsidP="00EC302A">
      <w:pPr>
        <w:jc w:val="both"/>
        <w:rPr>
          <w:lang w:val="en-GB"/>
        </w:rPr>
      </w:pPr>
    </w:p>
    <w:p w14:paraId="65D97676" w14:textId="77777777" w:rsidR="00EC302A" w:rsidRDefault="00EC302A" w:rsidP="00EC302A">
      <w:pPr>
        <w:jc w:val="both"/>
        <w:rPr>
          <w:lang w:val="en-GB"/>
        </w:rPr>
      </w:pPr>
    </w:p>
    <w:p w14:paraId="667CFAD8" w14:textId="77777777" w:rsidR="00EC302A" w:rsidRPr="00EC302A" w:rsidRDefault="00EC302A" w:rsidP="00EC302A">
      <w:pPr>
        <w:jc w:val="both"/>
        <w:rPr>
          <w:b/>
          <w:bCs/>
          <w:lang w:val="en-GB"/>
        </w:rPr>
      </w:pPr>
    </w:p>
    <w:p w14:paraId="2183E161" w14:textId="0F9CD7BC" w:rsidR="00EA79BF" w:rsidRPr="00EC302A" w:rsidRDefault="00AE2DE6" w:rsidP="00EC302A">
      <w:pPr>
        <w:jc w:val="center"/>
        <w:rPr>
          <w:b/>
          <w:bCs/>
          <w:lang w:val="en-GB"/>
        </w:rPr>
      </w:pPr>
      <w:r w:rsidRPr="00EC302A">
        <w:rPr>
          <w:b/>
          <w:bCs/>
          <w:noProof/>
          <w:lang w:val="en-GB"/>
        </w:rPr>
        <w:drawing>
          <wp:anchor distT="0" distB="0" distL="114300" distR="114300" simplePos="0" relativeHeight="251709440" behindDoc="0" locked="0" layoutInCell="1" allowOverlap="1" wp14:anchorId="14E6A872" wp14:editId="7BE563BA">
            <wp:simplePos x="0" y="0"/>
            <wp:positionH relativeFrom="margin">
              <wp:align>center</wp:align>
            </wp:positionH>
            <wp:positionV relativeFrom="margin">
              <wp:align>bottom</wp:align>
            </wp:positionV>
            <wp:extent cx="6089650" cy="680720"/>
            <wp:effectExtent l="0" t="0" r="6350" b="5080"/>
            <wp:wrapSquare wrapText="bothSides"/>
            <wp:docPr id="1842935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93549" name=""/>
                    <pic:cNvPicPr/>
                  </pic:nvPicPr>
                  <pic:blipFill>
                    <a:blip r:embed="rId11">
                      <a:extLst>
                        <a:ext uri="{28A0092B-C50C-407E-A947-70E740481C1C}">
                          <a14:useLocalDpi xmlns:a14="http://schemas.microsoft.com/office/drawing/2010/main" val="0"/>
                        </a:ext>
                      </a:extLst>
                    </a:blip>
                    <a:stretch>
                      <a:fillRect/>
                    </a:stretch>
                  </pic:blipFill>
                  <pic:spPr>
                    <a:xfrm>
                      <a:off x="0" y="0"/>
                      <a:ext cx="6089650" cy="680720"/>
                    </a:xfrm>
                    <a:prstGeom prst="rect">
                      <a:avLst/>
                    </a:prstGeom>
                  </pic:spPr>
                </pic:pic>
              </a:graphicData>
            </a:graphic>
          </wp:anchor>
        </w:drawing>
      </w:r>
      <w:r w:rsidR="00EA79BF" w:rsidRPr="00EC302A">
        <w:rPr>
          <w:b/>
          <w:bCs/>
          <w:noProof/>
          <w:lang w:val="en-GB"/>
        </w:rPr>
        <w:drawing>
          <wp:anchor distT="0" distB="0" distL="114300" distR="114300" simplePos="0" relativeHeight="251706368" behindDoc="0" locked="0" layoutInCell="1" allowOverlap="1" wp14:anchorId="2AD47D39" wp14:editId="1C0345AC">
            <wp:simplePos x="0" y="0"/>
            <wp:positionH relativeFrom="column">
              <wp:posOffset>-274320</wp:posOffset>
            </wp:positionH>
            <wp:positionV relativeFrom="page">
              <wp:posOffset>9245600</wp:posOffset>
            </wp:positionV>
            <wp:extent cx="3708400" cy="629920"/>
            <wp:effectExtent l="0" t="0" r="0" b="5080"/>
            <wp:wrapNone/>
            <wp:docPr id="32" name="Picture 32" descr="A black and white sign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black and white sign with white letter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08400" cy="629920"/>
                    </a:xfrm>
                    <a:prstGeom prst="rect">
                      <a:avLst/>
                    </a:prstGeom>
                  </pic:spPr>
                </pic:pic>
              </a:graphicData>
            </a:graphic>
            <wp14:sizeRelH relativeFrom="margin">
              <wp14:pctWidth>0</wp14:pctWidth>
            </wp14:sizeRelH>
            <wp14:sizeRelV relativeFrom="margin">
              <wp14:pctHeight>0</wp14:pctHeight>
            </wp14:sizeRelV>
          </wp:anchor>
        </w:drawing>
      </w:r>
      <w:r w:rsidR="00EC302A" w:rsidRPr="00EC302A">
        <w:rPr>
          <w:b/>
          <w:bCs/>
          <w:lang w:val="en-GB"/>
        </w:rPr>
        <w:t xml:space="preserve">Date </w:t>
      </w:r>
      <w:r w:rsidR="00C63A0D" w:rsidRPr="00EC302A">
        <w:rPr>
          <w:b/>
          <w:bCs/>
          <w:lang w:val="en-GB"/>
        </w:rPr>
        <w:t>submitted</w:t>
      </w:r>
      <w:r w:rsidR="00EC302A" w:rsidRPr="00EC302A">
        <w:rPr>
          <w:b/>
          <w:bCs/>
          <w:lang w:val="en-GB"/>
        </w:rPr>
        <w:t>: 20 January 2025</w:t>
      </w:r>
    </w:p>
    <w:p w14:paraId="5AFCE814" w14:textId="77777777" w:rsidR="00EC302A" w:rsidRDefault="00EC302A" w:rsidP="00EC302A">
      <w:pPr>
        <w:jc w:val="center"/>
        <w:rPr>
          <w:lang w:val="en-GB"/>
        </w:rPr>
      </w:pPr>
    </w:p>
    <w:p w14:paraId="5325D466" w14:textId="77777777" w:rsidR="00EC302A" w:rsidRPr="00EC302A" w:rsidRDefault="00EC302A" w:rsidP="00EC302A">
      <w:pPr>
        <w:jc w:val="center"/>
        <w:rPr>
          <w:lang w:val="en-GB"/>
        </w:rPr>
      </w:pPr>
      <w:r w:rsidRPr="00EC302A">
        <w:rPr>
          <w:lang w:val="en-GB"/>
        </w:rPr>
        <w:t>Evaluation Team:</w:t>
      </w:r>
    </w:p>
    <w:p w14:paraId="75D548D0" w14:textId="6E8ACD55" w:rsidR="00EC302A" w:rsidRPr="00EC302A" w:rsidRDefault="00EC302A" w:rsidP="00EC302A">
      <w:pPr>
        <w:jc w:val="center"/>
        <w:rPr>
          <w:lang w:val="en-GB"/>
        </w:rPr>
      </w:pPr>
      <w:r>
        <w:rPr>
          <w:lang w:val="en-GB"/>
        </w:rPr>
        <w:t xml:space="preserve">Ms. </w:t>
      </w:r>
      <w:r w:rsidRPr="00EC302A">
        <w:rPr>
          <w:lang w:val="en-GB"/>
        </w:rPr>
        <w:t>Bunafsha Gulakova, Team Leader</w:t>
      </w:r>
    </w:p>
    <w:p w14:paraId="5A974F0C" w14:textId="309AC2F8" w:rsidR="00EC302A" w:rsidRDefault="00EC302A" w:rsidP="00EC302A">
      <w:pPr>
        <w:jc w:val="center"/>
      </w:pPr>
      <w:r w:rsidRPr="00EC302A">
        <w:rPr>
          <w:b/>
          <w:bCs/>
          <w:lang w:val="en-GB"/>
        </w:rPr>
        <w:t>Marga Institute,</w:t>
      </w:r>
      <w:r w:rsidRPr="00C63A0D">
        <w:rPr>
          <w:b/>
          <w:bCs/>
          <w:lang w:val="en-GB"/>
        </w:rPr>
        <w:t xml:space="preserve"> Si Lanka</w:t>
      </w:r>
      <w:r w:rsidRPr="00EC302A">
        <w:rPr>
          <w:lang w:val="en-GB"/>
        </w:rPr>
        <w:t xml:space="preserve">: </w:t>
      </w:r>
      <w:r w:rsidRPr="00EC302A">
        <w:t>Mr. Clarence Jesuthasan, Evaluation Expert,</w:t>
      </w:r>
    </w:p>
    <w:p w14:paraId="3264741B" w14:textId="0C934E86" w:rsidR="00EC302A" w:rsidRDefault="00EC302A" w:rsidP="00EC302A">
      <w:pPr>
        <w:jc w:val="center"/>
      </w:pPr>
      <w:r w:rsidRPr="00EC302A">
        <w:t>Ms</w:t>
      </w:r>
      <w:r>
        <w:t>.</w:t>
      </w:r>
      <w:r w:rsidRPr="00EC302A">
        <w:t xml:space="preserve"> Nethmini Gunaratne, </w:t>
      </w:r>
      <w:r w:rsidRPr="00EC302A">
        <w:rPr>
          <w:rFonts w:ascii="Cambria" w:eastAsiaTheme="minorEastAsia" w:hAnsi="Cambria" w:cs="Cambria"/>
          <w:color w:val="000000"/>
          <w:sz w:val="23"/>
          <w:szCs w:val="23"/>
          <w:lang w:eastAsia="ja-JP"/>
        </w:rPr>
        <w:t>Research</w:t>
      </w:r>
      <w:r w:rsidRPr="00EC302A">
        <w:t xml:space="preserve"> Coordinator,</w:t>
      </w:r>
      <w:r>
        <w:t xml:space="preserve"> Ms. Niruni </w:t>
      </w:r>
    </w:p>
    <w:p w14:paraId="79F500F8" w14:textId="11876377" w:rsidR="00EC302A" w:rsidRPr="00EC302A" w:rsidRDefault="00EC302A" w:rsidP="00EC302A">
      <w:pPr>
        <w:jc w:val="center"/>
        <w:rPr>
          <w:lang w:val="en-GB"/>
        </w:rPr>
        <w:sectPr w:rsidR="00EC302A" w:rsidRPr="00EC302A" w:rsidSect="00EA79BF">
          <w:headerReference w:type="default" r:id="rId13"/>
          <w:footerReference w:type="even" r:id="rId14"/>
          <w:footerReference w:type="default" r:id="rId15"/>
          <w:headerReference w:type="first" r:id="rId16"/>
          <w:footerReference w:type="first" r:id="rId17"/>
          <w:pgSz w:w="11894" w:h="16834"/>
          <w:pgMar w:top="1440" w:right="1152" w:bottom="1152" w:left="1152" w:header="706" w:footer="706" w:gutter="0"/>
          <w:cols w:space="708"/>
          <w:titlePg/>
          <w:docGrid w:linePitch="360"/>
        </w:sectPr>
      </w:pPr>
      <w:r w:rsidRPr="00EC302A">
        <w:t>Mr. Amar Gunatilleke, Advisor</w:t>
      </w:r>
      <w:r>
        <w:t>.</w:t>
      </w:r>
      <w:r w:rsidRPr="00EC302A">
        <w:t xml:space="preserve"> </w:t>
      </w:r>
    </w:p>
    <w:p w14:paraId="47332CC5" w14:textId="77777777" w:rsidR="00EA79BF" w:rsidRPr="007A5C5F" w:rsidRDefault="00EA79BF" w:rsidP="00EA79BF">
      <w:pPr>
        <w:rPr>
          <w:lang w:val="en-GB"/>
        </w:rPr>
      </w:pPr>
    </w:p>
    <w:p w14:paraId="11495304" w14:textId="77777777" w:rsidR="00EA79BF" w:rsidRPr="007A5C5F" w:rsidRDefault="00EA79BF" w:rsidP="00EA79BF">
      <w:pPr>
        <w:ind w:left="360" w:hanging="360"/>
        <w:jc w:val="both"/>
        <w:rPr>
          <w:bCs/>
          <w:lang w:val="en-GB"/>
        </w:rPr>
      </w:pPr>
      <w:r w:rsidRPr="007A5C5F">
        <w:rPr>
          <w:b/>
          <w:bCs/>
          <w:lang w:val="en-GB"/>
        </w:rPr>
        <w:t xml:space="preserve">Project and evaluation information details </w:t>
      </w:r>
    </w:p>
    <w:tbl>
      <w:tblPr>
        <w:tblStyle w:val="TableGrid"/>
        <w:tblW w:w="0" w:type="auto"/>
        <w:tblBorders>
          <w:top w:val="single" w:sz="4" w:space="0" w:color="1E687C"/>
          <w:left w:val="single" w:sz="4" w:space="0" w:color="1E687C"/>
          <w:bottom w:val="single" w:sz="4" w:space="0" w:color="1E687C"/>
          <w:right w:val="single" w:sz="4" w:space="0" w:color="1E687C"/>
          <w:insideH w:val="single" w:sz="6" w:space="0" w:color="1E687C"/>
          <w:insideV w:val="single" w:sz="6" w:space="0" w:color="1E687C"/>
        </w:tblBorders>
        <w:shd w:val="clear" w:color="auto" w:fill="EAF6F3"/>
        <w:tblLook w:val="04A0" w:firstRow="1" w:lastRow="0" w:firstColumn="1" w:lastColumn="0" w:noHBand="0" w:noVBand="1"/>
      </w:tblPr>
      <w:tblGrid>
        <w:gridCol w:w="2263"/>
        <w:gridCol w:w="3939"/>
        <w:gridCol w:w="3148"/>
      </w:tblGrid>
      <w:tr w:rsidR="00EA79BF" w:rsidRPr="007A5C5F" w14:paraId="0CB2C5C7" w14:textId="77777777" w:rsidTr="00EE71C7">
        <w:trPr>
          <w:trHeight w:val="382"/>
        </w:trPr>
        <w:tc>
          <w:tcPr>
            <w:tcW w:w="9350" w:type="dxa"/>
            <w:gridSpan w:val="3"/>
            <w:shd w:val="clear" w:color="auto" w:fill="EAF6F3"/>
            <w:tcMar>
              <w:top w:w="29" w:type="dxa"/>
              <w:left w:w="115" w:type="dxa"/>
              <w:bottom w:w="29" w:type="dxa"/>
              <w:right w:w="115" w:type="dxa"/>
            </w:tcMar>
            <w:vAlign w:val="center"/>
          </w:tcPr>
          <w:p w14:paraId="450284F0" w14:textId="77777777" w:rsidR="00EA79BF" w:rsidRPr="007A5C5F" w:rsidRDefault="00EA79BF" w:rsidP="00EE71C7">
            <w:pPr>
              <w:jc w:val="center"/>
              <w:rPr>
                <w:b/>
                <w:lang w:val="en-GB"/>
              </w:rPr>
            </w:pPr>
            <w:r w:rsidRPr="007A5C5F">
              <w:rPr>
                <w:b/>
                <w:lang w:val="en-GB"/>
              </w:rPr>
              <w:t>Project/outcome Information</w:t>
            </w:r>
          </w:p>
        </w:tc>
      </w:tr>
      <w:tr w:rsidR="00EA79BF" w:rsidRPr="007A5C5F" w14:paraId="1958AEC4" w14:textId="77777777" w:rsidTr="00EE71C7">
        <w:tc>
          <w:tcPr>
            <w:tcW w:w="2263" w:type="dxa"/>
            <w:shd w:val="clear" w:color="auto" w:fill="EAF6F3"/>
            <w:tcMar>
              <w:top w:w="29" w:type="dxa"/>
              <w:left w:w="115" w:type="dxa"/>
              <w:bottom w:w="29" w:type="dxa"/>
              <w:right w:w="115" w:type="dxa"/>
            </w:tcMar>
          </w:tcPr>
          <w:p w14:paraId="415A2DEC" w14:textId="77777777" w:rsidR="00EA79BF" w:rsidRPr="007A5C5F" w:rsidRDefault="00EA79BF" w:rsidP="00EE71C7">
            <w:pPr>
              <w:rPr>
                <w:b/>
                <w:lang w:val="en-GB"/>
              </w:rPr>
            </w:pPr>
            <w:r w:rsidRPr="007A5C5F">
              <w:rPr>
                <w:b/>
                <w:lang w:val="en-GB"/>
              </w:rPr>
              <w:t>Project/outcome title</w:t>
            </w:r>
          </w:p>
        </w:tc>
        <w:tc>
          <w:tcPr>
            <w:tcW w:w="7087" w:type="dxa"/>
            <w:gridSpan w:val="2"/>
            <w:shd w:val="clear" w:color="auto" w:fill="EAF6F3"/>
            <w:tcMar>
              <w:top w:w="29" w:type="dxa"/>
              <w:left w:w="115" w:type="dxa"/>
              <w:bottom w:w="29" w:type="dxa"/>
              <w:right w:w="115" w:type="dxa"/>
            </w:tcMar>
          </w:tcPr>
          <w:p w14:paraId="3BA08D47" w14:textId="77777777" w:rsidR="00EA79BF" w:rsidRPr="007A5C5F" w:rsidRDefault="00EA79BF" w:rsidP="00EE71C7">
            <w:pPr>
              <w:rPr>
                <w:lang w:val="en-GB"/>
              </w:rPr>
            </w:pPr>
            <w:r w:rsidRPr="007A5C5F">
              <w:rPr>
                <w:lang w:val="en-GB"/>
              </w:rPr>
              <w:t>EU – Sri Lanka Justice Reform Programme – JURE</w:t>
            </w:r>
          </w:p>
        </w:tc>
      </w:tr>
      <w:tr w:rsidR="00EA79BF" w:rsidRPr="007A5C5F" w14:paraId="68D07779" w14:textId="77777777" w:rsidTr="00EE71C7">
        <w:tc>
          <w:tcPr>
            <w:tcW w:w="2263" w:type="dxa"/>
            <w:shd w:val="clear" w:color="auto" w:fill="EAF6F3"/>
            <w:tcMar>
              <w:top w:w="29" w:type="dxa"/>
              <w:left w:w="115" w:type="dxa"/>
              <w:bottom w:w="29" w:type="dxa"/>
              <w:right w:w="115" w:type="dxa"/>
            </w:tcMar>
          </w:tcPr>
          <w:p w14:paraId="7A356419" w14:textId="77777777" w:rsidR="00EA79BF" w:rsidRPr="007A5C5F" w:rsidRDefault="00EA79BF" w:rsidP="00EE71C7">
            <w:pPr>
              <w:rPr>
                <w:b/>
                <w:lang w:val="en-GB"/>
              </w:rPr>
            </w:pPr>
            <w:r w:rsidRPr="007A5C5F">
              <w:rPr>
                <w:b/>
                <w:lang w:val="en-GB"/>
              </w:rPr>
              <w:t>Project ID</w:t>
            </w:r>
          </w:p>
        </w:tc>
        <w:tc>
          <w:tcPr>
            <w:tcW w:w="7087" w:type="dxa"/>
            <w:gridSpan w:val="2"/>
            <w:shd w:val="clear" w:color="auto" w:fill="EAF6F3"/>
            <w:tcMar>
              <w:top w:w="29" w:type="dxa"/>
              <w:left w:w="115" w:type="dxa"/>
              <w:bottom w:w="29" w:type="dxa"/>
              <w:right w:w="115" w:type="dxa"/>
            </w:tcMar>
          </w:tcPr>
          <w:p w14:paraId="6D4E1D8C" w14:textId="77777777" w:rsidR="00EA79BF" w:rsidRPr="007A5C5F" w:rsidRDefault="00EA79BF" w:rsidP="00EE71C7">
            <w:pPr>
              <w:rPr>
                <w:lang w:val="en-GB"/>
              </w:rPr>
            </w:pPr>
            <w:r w:rsidRPr="007A5C5F">
              <w:rPr>
                <w:lang w:val="en-GB"/>
              </w:rPr>
              <w:t>00129929</w:t>
            </w:r>
          </w:p>
        </w:tc>
      </w:tr>
      <w:tr w:rsidR="00EA79BF" w:rsidRPr="007A5C5F" w14:paraId="1C9737CB" w14:textId="77777777" w:rsidTr="00EE71C7">
        <w:tc>
          <w:tcPr>
            <w:tcW w:w="2263" w:type="dxa"/>
            <w:shd w:val="clear" w:color="auto" w:fill="EAF6F3"/>
            <w:tcMar>
              <w:top w:w="29" w:type="dxa"/>
              <w:left w:w="115" w:type="dxa"/>
              <w:bottom w:w="29" w:type="dxa"/>
              <w:right w:w="115" w:type="dxa"/>
            </w:tcMar>
          </w:tcPr>
          <w:p w14:paraId="2084414A" w14:textId="77777777" w:rsidR="00EA79BF" w:rsidRPr="007A5C5F" w:rsidRDefault="00EA79BF" w:rsidP="00EE71C7">
            <w:pPr>
              <w:rPr>
                <w:b/>
                <w:lang w:val="en-GB"/>
              </w:rPr>
            </w:pPr>
            <w:r w:rsidRPr="007A5C5F">
              <w:rPr>
                <w:b/>
                <w:lang w:val="en-GB"/>
              </w:rPr>
              <w:t>Corporate outcome and output</w:t>
            </w:r>
            <w:r w:rsidRPr="007A5C5F">
              <w:rPr>
                <w:b/>
                <w:color w:val="333333"/>
                <w:shd w:val="clear" w:color="auto" w:fill="FFFFFF"/>
                <w:lang w:val="en-GB"/>
              </w:rPr>
              <w:t> </w:t>
            </w:r>
          </w:p>
        </w:tc>
        <w:tc>
          <w:tcPr>
            <w:tcW w:w="7087" w:type="dxa"/>
            <w:gridSpan w:val="2"/>
            <w:shd w:val="clear" w:color="auto" w:fill="EAF6F3"/>
            <w:tcMar>
              <w:top w:w="29" w:type="dxa"/>
              <w:left w:w="115" w:type="dxa"/>
              <w:bottom w:w="29" w:type="dxa"/>
              <w:right w:w="115" w:type="dxa"/>
            </w:tcMar>
          </w:tcPr>
          <w:p w14:paraId="0CC96FAE" w14:textId="77777777" w:rsidR="00EA79BF" w:rsidRPr="007A5C5F" w:rsidRDefault="00EA79BF" w:rsidP="00EE71C7">
            <w:pPr>
              <w:rPr>
                <w:lang w:val="en-GB"/>
              </w:rPr>
            </w:pPr>
            <w:r w:rsidRPr="007A5C5F">
              <w:rPr>
                <w:b/>
                <w:bCs/>
                <w:lang w:val="en-GB"/>
              </w:rPr>
              <w:t xml:space="preserve">UN Corporate </w:t>
            </w:r>
            <w:r>
              <w:rPr>
                <w:b/>
                <w:bCs/>
              </w:rPr>
              <w:t>Framework</w:t>
            </w:r>
            <w:r w:rsidRPr="007A5C5F">
              <w:rPr>
                <w:b/>
                <w:bCs/>
                <w:lang w:val="en-GB"/>
              </w:rPr>
              <w:t xml:space="preserve"> Outcome 4/ UNDP Country Programme Outcome 3:</w:t>
            </w:r>
            <w:r w:rsidRPr="007A5C5F">
              <w:rPr>
                <w:lang w:val="en-GB"/>
              </w:rPr>
              <w:t xml:space="preserve"> By 2027, people in Sri Lanka, particularly the most vulnerable, have increased trust and confidence to claim and benefit from enhanced, non-discriminatory, gender-responsive, participatory and efficient governance and justice systems and rights-based development.</w:t>
            </w:r>
          </w:p>
          <w:p w14:paraId="26CE17BE" w14:textId="77777777" w:rsidR="00EA79BF" w:rsidRPr="007A5C5F" w:rsidRDefault="00EA79BF" w:rsidP="00EE71C7">
            <w:pPr>
              <w:rPr>
                <w:b/>
                <w:bCs/>
                <w:lang w:val="en-GB"/>
              </w:rPr>
            </w:pPr>
            <w:r w:rsidRPr="007A5C5F">
              <w:rPr>
                <w:b/>
                <w:bCs/>
                <w:lang w:val="en-GB"/>
              </w:rPr>
              <w:t>Project level outcomes:</w:t>
            </w:r>
          </w:p>
          <w:p w14:paraId="4B7189F9" w14:textId="77777777" w:rsidR="00EA79BF" w:rsidRPr="007A5C5F" w:rsidRDefault="00EA79BF" w:rsidP="00EE71C7">
            <w:pPr>
              <w:rPr>
                <w:lang w:val="en-GB"/>
              </w:rPr>
            </w:pPr>
            <w:r w:rsidRPr="007A5C5F">
              <w:rPr>
                <w:lang w:val="en-GB"/>
              </w:rPr>
              <w:sym w:font="Symbol" w:char="F0B7"/>
            </w:r>
            <w:r w:rsidRPr="007A5C5F">
              <w:rPr>
                <w:lang w:val="en-GB"/>
              </w:rPr>
              <w:t xml:space="preserve"> </w:t>
            </w:r>
            <w:r w:rsidRPr="007A5C5F">
              <w:rPr>
                <w:b/>
                <w:bCs/>
                <w:lang w:val="en-GB"/>
              </w:rPr>
              <w:t>Outcome 1:</w:t>
            </w:r>
            <w:r w:rsidRPr="007A5C5F">
              <w:rPr>
                <w:lang w:val="en-GB"/>
              </w:rPr>
              <w:t xml:space="preserve"> Improved access to justice for all, </w:t>
            </w:r>
            <w:proofErr w:type="gramStart"/>
            <w:r w:rsidRPr="007A5C5F">
              <w:rPr>
                <w:lang w:val="en-GB"/>
              </w:rPr>
              <w:t>in particular women</w:t>
            </w:r>
            <w:proofErr w:type="gramEnd"/>
            <w:r w:rsidRPr="007A5C5F">
              <w:rPr>
                <w:lang w:val="en-GB"/>
              </w:rPr>
              <w:t xml:space="preserve">, the poor and persons in vulnerable situations </w:t>
            </w:r>
          </w:p>
          <w:p w14:paraId="5DC6E6E7" w14:textId="77777777" w:rsidR="00EA79BF" w:rsidRPr="007A5C5F" w:rsidRDefault="00EA79BF" w:rsidP="00EE71C7">
            <w:pPr>
              <w:rPr>
                <w:lang w:val="en-GB"/>
              </w:rPr>
            </w:pPr>
            <w:r w:rsidRPr="007A5C5F">
              <w:rPr>
                <w:lang w:val="en-GB"/>
              </w:rPr>
              <w:sym w:font="Symbol" w:char="F0B7"/>
            </w:r>
            <w:r w:rsidRPr="007A5C5F">
              <w:rPr>
                <w:lang w:val="en-GB"/>
              </w:rPr>
              <w:t xml:space="preserve"> </w:t>
            </w:r>
            <w:r w:rsidRPr="007A5C5F">
              <w:rPr>
                <w:b/>
                <w:bCs/>
                <w:lang w:val="en-GB"/>
              </w:rPr>
              <w:t>Outcome 2:</w:t>
            </w:r>
            <w:r w:rsidRPr="007A5C5F">
              <w:rPr>
                <w:lang w:val="en-GB"/>
              </w:rPr>
              <w:t xml:space="preserve"> Improved accountability, transparency, and credibility of the justice system </w:t>
            </w:r>
          </w:p>
          <w:p w14:paraId="329516C4" w14:textId="77777777" w:rsidR="00EA79BF" w:rsidRPr="007A5C5F" w:rsidRDefault="00EA79BF" w:rsidP="00EE71C7">
            <w:pPr>
              <w:rPr>
                <w:lang w:val="en-GB"/>
              </w:rPr>
            </w:pPr>
            <w:r w:rsidRPr="007A5C5F">
              <w:rPr>
                <w:lang w:val="en-GB"/>
              </w:rPr>
              <w:sym w:font="Symbol" w:char="F0B7"/>
            </w:r>
            <w:r w:rsidRPr="007A5C5F">
              <w:rPr>
                <w:lang w:val="en-GB"/>
              </w:rPr>
              <w:t xml:space="preserve"> </w:t>
            </w:r>
            <w:r w:rsidRPr="007A5C5F">
              <w:rPr>
                <w:b/>
                <w:bCs/>
                <w:lang w:val="en-GB"/>
              </w:rPr>
              <w:t>Outcome 3:</w:t>
            </w:r>
            <w:r w:rsidRPr="007A5C5F">
              <w:rPr>
                <w:lang w:val="en-GB"/>
              </w:rPr>
              <w:t xml:space="preserve"> Improved efficiency and quality of justice</w:t>
            </w:r>
          </w:p>
        </w:tc>
      </w:tr>
      <w:tr w:rsidR="00EA79BF" w:rsidRPr="007A5C5F" w14:paraId="0B2E08EC" w14:textId="77777777" w:rsidTr="00EE71C7">
        <w:tc>
          <w:tcPr>
            <w:tcW w:w="2263" w:type="dxa"/>
            <w:shd w:val="clear" w:color="auto" w:fill="EAF6F3"/>
            <w:tcMar>
              <w:top w:w="29" w:type="dxa"/>
              <w:left w:w="115" w:type="dxa"/>
              <w:bottom w:w="29" w:type="dxa"/>
              <w:right w:w="115" w:type="dxa"/>
            </w:tcMar>
          </w:tcPr>
          <w:p w14:paraId="7044315F" w14:textId="77777777" w:rsidR="00EA79BF" w:rsidRPr="007A5C5F" w:rsidRDefault="00EA79BF" w:rsidP="00EE71C7">
            <w:pPr>
              <w:rPr>
                <w:b/>
                <w:lang w:val="en-GB"/>
              </w:rPr>
            </w:pPr>
            <w:r w:rsidRPr="007A5C5F">
              <w:rPr>
                <w:b/>
                <w:lang w:val="en-GB"/>
              </w:rPr>
              <w:t>Country</w:t>
            </w:r>
          </w:p>
        </w:tc>
        <w:tc>
          <w:tcPr>
            <w:tcW w:w="7087" w:type="dxa"/>
            <w:gridSpan w:val="2"/>
            <w:shd w:val="clear" w:color="auto" w:fill="EAF6F3"/>
            <w:tcMar>
              <w:top w:w="29" w:type="dxa"/>
              <w:left w:w="115" w:type="dxa"/>
              <w:bottom w:w="29" w:type="dxa"/>
              <w:right w:w="115" w:type="dxa"/>
            </w:tcMar>
          </w:tcPr>
          <w:p w14:paraId="0327066C" w14:textId="77777777" w:rsidR="00EA79BF" w:rsidRPr="007A5C5F" w:rsidRDefault="00EA79BF" w:rsidP="00EE71C7">
            <w:pPr>
              <w:rPr>
                <w:lang w:val="en-GB"/>
              </w:rPr>
            </w:pPr>
            <w:r w:rsidRPr="007A5C5F">
              <w:rPr>
                <w:lang w:val="en-GB"/>
              </w:rPr>
              <w:t xml:space="preserve">Sri Lanka </w:t>
            </w:r>
          </w:p>
        </w:tc>
      </w:tr>
      <w:tr w:rsidR="00EA79BF" w:rsidRPr="007A5C5F" w14:paraId="05954663" w14:textId="77777777" w:rsidTr="00EE71C7">
        <w:tc>
          <w:tcPr>
            <w:tcW w:w="2263" w:type="dxa"/>
            <w:shd w:val="clear" w:color="auto" w:fill="EAF6F3"/>
            <w:tcMar>
              <w:top w:w="29" w:type="dxa"/>
              <w:left w:w="115" w:type="dxa"/>
              <w:bottom w:w="29" w:type="dxa"/>
              <w:right w:w="115" w:type="dxa"/>
            </w:tcMar>
          </w:tcPr>
          <w:p w14:paraId="0018F53F" w14:textId="77777777" w:rsidR="00EA79BF" w:rsidRPr="007A5C5F" w:rsidRDefault="00EA79BF" w:rsidP="00EE71C7">
            <w:pPr>
              <w:rPr>
                <w:b/>
                <w:lang w:val="en-GB"/>
              </w:rPr>
            </w:pPr>
            <w:r w:rsidRPr="007A5C5F">
              <w:rPr>
                <w:b/>
                <w:lang w:val="en-GB"/>
              </w:rPr>
              <w:t>Region</w:t>
            </w:r>
          </w:p>
        </w:tc>
        <w:tc>
          <w:tcPr>
            <w:tcW w:w="7087" w:type="dxa"/>
            <w:gridSpan w:val="2"/>
            <w:shd w:val="clear" w:color="auto" w:fill="EAF6F3"/>
            <w:tcMar>
              <w:top w:w="29" w:type="dxa"/>
              <w:left w:w="115" w:type="dxa"/>
              <w:bottom w:w="29" w:type="dxa"/>
              <w:right w:w="115" w:type="dxa"/>
            </w:tcMar>
          </w:tcPr>
          <w:p w14:paraId="58851C23" w14:textId="77777777" w:rsidR="00EA79BF" w:rsidRPr="007A5C5F" w:rsidRDefault="00EA79BF" w:rsidP="00EE71C7">
            <w:pPr>
              <w:rPr>
                <w:lang w:val="en-GB"/>
              </w:rPr>
            </w:pPr>
            <w:r w:rsidRPr="007A5C5F">
              <w:rPr>
                <w:lang w:val="en-GB"/>
              </w:rPr>
              <w:t xml:space="preserve">South Asia </w:t>
            </w:r>
          </w:p>
        </w:tc>
      </w:tr>
      <w:tr w:rsidR="00EA79BF" w:rsidRPr="007A5C5F" w14:paraId="6CECBAA7" w14:textId="77777777" w:rsidTr="00EE71C7">
        <w:tc>
          <w:tcPr>
            <w:tcW w:w="2263" w:type="dxa"/>
            <w:shd w:val="clear" w:color="auto" w:fill="EAF6F3"/>
            <w:tcMar>
              <w:top w:w="29" w:type="dxa"/>
              <w:left w:w="115" w:type="dxa"/>
              <w:bottom w:w="29" w:type="dxa"/>
              <w:right w:w="115" w:type="dxa"/>
            </w:tcMar>
          </w:tcPr>
          <w:p w14:paraId="4AB9EBC0" w14:textId="77777777" w:rsidR="00EA79BF" w:rsidRPr="007A5C5F" w:rsidRDefault="00EA79BF" w:rsidP="00EE71C7">
            <w:pPr>
              <w:rPr>
                <w:b/>
                <w:lang w:val="en-GB"/>
              </w:rPr>
            </w:pPr>
            <w:r w:rsidRPr="007A5C5F">
              <w:rPr>
                <w:b/>
                <w:lang w:val="en-GB"/>
              </w:rPr>
              <w:t>Date project document signed</w:t>
            </w:r>
          </w:p>
        </w:tc>
        <w:tc>
          <w:tcPr>
            <w:tcW w:w="7087" w:type="dxa"/>
            <w:gridSpan w:val="2"/>
            <w:shd w:val="clear" w:color="auto" w:fill="EAF6F3"/>
            <w:tcMar>
              <w:top w:w="29" w:type="dxa"/>
              <w:left w:w="115" w:type="dxa"/>
              <w:bottom w:w="29" w:type="dxa"/>
              <w:right w:w="115" w:type="dxa"/>
            </w:tcMar>
          </w:tcPr>
          <w:p w14:paraId="59960FE5" w14:textId="77777777" w:rsidR="00EA79BF" w:rsidRPr="007A5C5F" w:rsidRDefault="00EA79BF" w:rsidP="00EE71C7">
            <w:pPr>
              <w:rPr>
                <w:lang w:val="en-GB"/>
              </w:rPr>
            </w:pPr>
            <w:r w:rsidRPr="007A5C5F">
              <w:rPr>
                <w:lang w:val="en-GB"/>
              </w:rPr>
              <w:t>15</w:t>
            </w:r>
            <w:r w:rsidRPr="007A5C5F">
              <w:rPr>
                <w:vertAlign w:val="superscript"/>
                <w:lang w:val="en-GB"/>
              </w:rPr>
              <w:t>th</w:t>
            </w:r>
            <w:r w:rsidRPr="007A5C5F">
              <w:rPr>
                <w:lang w:val="en-GB"/>
              </w:rPr>
              <w:t xml:space="preserve"> of December 2021</w:t>
            </w:r>
          </w:p>
        </w:tc>
      </w:tr>
      <w:tr w:rsidR="00EA79BF" w:rsidRPr="007A5C5F" w14:paraId="2A17EA30" w14:textId="77777777" w:rsidTr="00EE71C7">
        <w:tc>
          <w:tcPr>
            <w:tcW w:w="2263" w:type="dxa"/>
            <w:vMerge w:val="restart"/>
            <w:shd w:val="clear" w:color="auto" w:fill="EAF6F3"/>
            <w:tcMar>
              <w:top w:w="29" w:type="dxa"/>
              <w:left w:w="115" w:type="dxa"/>
              <w:bottom w:w="29" w:type="dxa"/>
              <w:right w:w="115" w:type="dxa"/>
            </w:tcMar>
            <w:vAlign w:val="center"/>
          </w:tcPr>
          <w:p w14:paraId="50C1792D" w14:textId="77777777" w:rsidR="00EA79BF" w:rsidRPr="007A5C5F" w:rsidRDefault="00EA79BF" w:rsidP="00EE71C7">
            <w:pPr>
              <w:rPr>
                <w:b/>
                <w:lang w:val="en-GB"/>
              </w:rPr>
            </w:pPr>
            <w:r w:rsidRPr="007A5C5F">
              <w:rPr>
                <w:b/>
                <w:lang w:val="en-GB"/>
              </w:rPr>
              <w:t>Project dates</w:t>
            </w:r>
          </w:p>
        </w:tc>
        <w:tc>
          <w:tcPr>
            <w:tcW w:w="3939" w:type="dxa"/>
            <w:shd w:val="clear" w:color="auto" w:fill="EAF6F3"/>
            <w:tcMar>
              <w:top w:w="29" w:type="dxa"/>
              <w:left w:w="115" w:type="dxa"/>
              <w:bottom w:w="29" w:type="dxa"/>
              <w:right w:w="115" w:type="dxa"/>
            </w:tcMar>
          </w:tcPr>
          <w:p w14:paraId="29528B64" w14:textId="77777777" w:rsidR="00EA79BF" w:rsidRPr="007A5C5F" w:rsidRDefault="00EA79BF" w:rsidP="00EE71C7">
            <w:pPr>
              <w:jc w:val="center"/>
              <w:rPr>
                <w:b/>
                <w:lang w:val="en-GB"/>
              </w:rPr>
            </w:pPr>
            <w:r w:rsidRPr="007A5C5F">
              <w:rPr>
                <w:b/>
                <w:lang w:val="en-GB"/>
              </w:rPr>
              <w:t>Start</w:t>
            </w:r>
          </w:p>
        </w:tc>
        <w:tc>
          <w:tcPr>
            <w:tcW w:w="3148" w:type="dxa"/>
            <w:shd w:val="clear" w:color="auto" w:fill="EAF6F3"/>
            <w:tcMar>
              <w:top w:w="29" w:type="dxa"/>
              <w:left w:w="115" w:type="dxa"/>
              <w:bottom w:w="29" w:type="dxa"/>
              <w:right w:w="115" w:type="dxa"/>
            </w:tcMar>
          </w:tcPr>
          <w:p w14:paraId="5EBA3F36" w14:textId="77777777" w:rsidR="00EA79BF" w:rsidRPr="007A5C5F" w:rsidRDefault="00EA79BF" w:rsidP="00EE71C7">
            <w:pPr>
              <w:jc w:val="center"/>
              <w:rPr>
                <w:b/>
                <w:lang w:val="en-GB"/>
              </w:rPr>
            </w:pPr>
            <w:r w:rsidRPr="007A5C5F">
              <w:rPr>
                <w:b/>
                <w:lang w:val="en-GB"/>
              </w:rPr>
              <w:t>Planned end</w:t>
            </w:r>
          </w:p>
        </w:tc>
      </w:tr>
      <w:tr w:rsidR="00EA79BF" w:rsidRPr="007A5C5F" w14:paraId="579AAE18" w14:textId="77777777" w:rsidTr="00EE71C7">
        <w:tc>
          <w:tcPr>
            <w:tcW w:w="2263" w:type="dxa"/>
            <w:vMerge/>
            <w:shd w:val="clear" w:color="auto" w:fill="EAF6F3"/>
            <w:tcMar>
              <w:top w:w="29" w:type="dxa"/>
              <w:left w:w="115" w:type="dxa"/>
              <w:bottom w:w="29" w:type="dxa"/>
              <w:right w:w="115" w:type="dxa"/>
            </w:tcMar>
          </w:tcPr>
          <w:p w14:paraId="727FF8AB" w14:textId="77777777" w:rsidR="00EA79BF" w:rsidRPr="007A5C5F" w:rsidRDefault="00EA79BF" w:rsidP="00EE71C7">
            <w:pPr>
              <w:rPr>
                <w:b/>
                <w:lang w:val="en-GB"/>
              </w:rPr>
            </w:pPr>
          </w:p>
        </w:tc>
        <w:tc>
          <w:tcPr>
            <w:tcW w:w="3939" w:type="dxa"/>
            <w:shd w:val="clear" w:color="auto" w:fill="EAF6F3"/>
            <w:tcMar>
              <w:top w:w="29" w:type="dxa"/>
              <w:left w:w="115" w:type="dxa"/>
              <w:bottom w:w="29" w:type="dxa"/>
              <w:right w:w="115" w:type="dxa"/>
            </w:tcMar>
          </w:tcPr>
          <w:p w14:paraId="3273B208" w14:textId="77777777" w:rsidR="00EA79BF" w:rsidRPr="007A5C5F" w:rsidRDefault="00EA79BF" w:rsidP="00EE71C7">
            <w:pPr>
              <w:jc w:val="center"/>
              <w:rPr>
                <w:lang w:val="en-GB"/>
              </w:rPr>
            </w:pPr>
            <w:r w:rsidRPr="007A5C5F">
              <w:rPr>
                <w:lang w:val="en-GB"/>
              </w:rPr>
              <w:t>01 January 2022</w:t>
            </w:r>
          </w:p>
        </w:tc>
        <w:tc>
          <w:tcPr>
            <w:tcW w:w="3148" w:type="dxa"/>
            <w:shd w:val="clear" w:color="auto" w:fill="EAF6F3"/>
            <w:tcMar>
              <w:top w:w="29" w:type="dxa"/>
              <w:left w:w="115" w:type="dxa"/>
              <w:bottom w:w="29" w:type="dxa"/>
              <w:right w:w="115" w:type="dxa"/>
            </w:tcMar>
          </w:tcPr>
          <w:p w14:paraId="1B81A4C4" w14:textId="77777777" w:rsidR="00EA79BF" w:rsidRPr="007A5C5F" w:rsidRDefault="00EA79BF" w:rsidP="00EE71C7">
            <w:pPr>
              <w:jc w:val="center"/>
              <w:rPr>
                <w:lang w:val="en-GB"/>
              </w:rPr>
            </w:pPr>
            <w:r w:rsidRPr="007A5C5F">
              <w:rPr>
                <w:lang w:val="en-GB"/>
              </w:rPr>
              <w:t>31 May 2026</w:t>
            </w:r>
          </w:p>
        </w:tc>
      </w:tr>
      <w:tr w:rsidR="00EA79BF" w:rsidRPr="007A5C5F" w14:paraId="2E577113" w14:textId="77777777" w:rsidTr="00EE71C7">
        <w:trPr>
          <w:trHeight w:val="546"/>
        </w:trPr>
        <w:tc>
          <w:tcPr>
            <w:tcW w:w="2263" w:type="dxa"/>
            <w:shd w:val="clear" w:color="auto" w:fill="EAF6F3"/>
            <w:tcMar>
              <w:top w:w="29" w:type="dxa"/>
              <w:left w:w="115" w:type="dxa"/>
              <w:bottom w:w="29" w:type="dxa"/>
              <w:right w:w="115" w:type="dxa"/>
            </w:tcMar>
          </w:tcPr>
          <w:p w14:paraId="6415C614" w14:textId="77777777" w:rsidR="00EA79BF" w:rsidRPr="007A5C5F" w:rsidRDefault="00EA79BF" w:rsidP="00EE71C7">
            <w:pPr>
              <w:rPr>
                <w:b/>
                <w:lang w:val="en-GB"/>
              </w:rPr>
            </w:pPr>
            <w:r w:rsidRPr="007A5C5F">
              <w:rPr>
                <w:b/>
                <w:lang w:val="en-GB"/>
              </w:rPr>
              <w:t>Total committed budget</w:t>
            </w:r>
          </w:p>
        </w:tc>
        <w:tc>
          <w:tcPr>
            <w:tcW w:w="7087" w:type="dxa"/>
            <w:gridSpan w:val="2"/>
            <w:shd w:val="clear" w:color="auto" w:fill="EAF6F3"/>
            <w:tcMar>
              <w:top w:w="29" w:type="dxa"/>
              <w:left w:w="115" w:type="dxa"/>
              <w:bottom w:w="29" w:type="dxa"/>
              <w:right w:w="115" w:type="dxa"/>
            </w:tcMar>
          </w:tcPr>
          <w:p w14:paraId="325CD4AB" w14:textId="77777777" w:rsidR="00EA79BF" w:rsidRPr="007A5C5F" w:rsidRDefault="00EA79BF" w:rsidP="00EE71C7">
            <w:pPr>
              <w:jc w:val="center"/>
              <w:rPr>
                <w:b/>
                <w:lang w:val="en-GB"/>
              </w:rPr>
            </w:pPr>
            <w:r w:rsidRPr="007A5C5F">
              <w:rPr>
                <w:lang w:val="en-GB"/>
              </w:rPr>
              <w:t xml:space="preserve">USD 19,422,120 </w:t>
            </w:r>
          </w:p>
        </w:tc>
      </w:tr>
      <w:tr w:rsidR="00EA79BF" w:rsidRPr="007A5C5F" w14:paraId="61A1C6BB" w14:textId="77777777" w:rsidTr="00EE71C7">
        <w:tc>
          <w:tcPr>
            <w:tcW w:w="2263" w:type="dxa"/>
            <w:shd w:val="clear" w:color="auto" w:fill="EAF6F3"/>
            <w:tcMar>
              <w:top w:w="29" w:type="dxa"/>
              <w:left w:w="115" w:type="dxa"/>
              <w:bottom w:w="29" w:type="dxa"/>
              <w:right w:w="115" w:type="dxa"/>
            </w:tcMar>
          </w:tcPr>
          <w:p w14:paraId="6B99AE48" w14:textId="77777777" w:rsidR="00EA79BF" w:rsidRPr="007A5C5F" w:rsidRDefault="00EA79BF" w:rsidP="00EE71C7">
            <w:pPr>
              <w:rPr>
                <w:b/>
                <w:lang w:val="en-GB"/>
              </w:rPr>
            </w:pPr>
            <w:r w:rsidRPr="007A5C5F">
              <w:rPr>
                <w:b/>
                <w:lang w:val="en-GB"/>
              </w:rPr>
              <w:t>Project expenditure at the time of evaluation</w:t>
            </w:r>
          </w:p>
        </w:tc>
        <w:tc>
          <w:tcPr>
            <w:tcW w:w="7087" w:type="dxa"/>
            <w:gridSpan w:val="2"/>
            <w:shd w:val="clear" w:color="auto" w:fill="EAF6F3"/>
            <w:tcMar>
              <w:top w:w="29" w:type="dxa"/>
              <w:left w:w="115" w:type="dxa"/>
              <w:bottom w:w="29" w:type="dxa"/>
              <w:right w:w="115" w:type="dxa"/>
            </w:tcMar>
          </w:tcPr>
          <w:p w14:paraId="01BFEBD5" w14:textId="77777777" w:rsidR="00EA79BF" w:rsidRPr="007A5C5F" w:rsidRDefault="00EA79BF" w:rsidP="00EE71C7">
            <w:pPr>
              <w:rPr>
                <w:lang w:val="en-GB"/>
              </w:rPr>
            </w:pPr>
            <w:r w:rsidRPr="007A5C5F">
              <w:rPr>
                <w:b/>
                <w:lang w:val="en-GB"/>
              </w:rPr>
              <w:t>Following is the expenditure from UNDP and UNICEF as of 30th June 2024.</w:t>
            </w:r>
          </w:p>
          <w:p w14:paraId="3AC6FE9B" w14:textId="77777777" w:rsidR="00EA79BF" w:rsidRPr="007A5C5F" w:rsidRDefault="00EA79BF" w:rsidP="00EA79BF">
            <w:pPr>
              <w:pStyle w:val="ListParagraph"/>
              <w:numPr>
                <w:ilvl w:val="0"/>
                <w:numId w:val="36"/>
              </w:numPr>
              <w:adjustRightInd/>
              <w:snapToGrid/>
              <w:spacing w:after="0"/>
              <w:rPr>
                <w:lang w:val="en-GB"/>
              </w:rPr>
            </w:pPr>
            <w:r w:rsidRPr="007A5C5F">
              <w:rPr>
                <w:lang w:val="en-GB"/>
              </w:rPr>
              <w:t>USD 3,953,599.06 (UNDP)</w:t>
            </w:r>
          </w:p>
          <w:p w14:paraId="7F224AF0" w14:textId="77777777" w:rsidR="00EA79BF" w:rsidRPr="007A5C5F" w:rsidRDefault="00EA79BF" w:rsidP="00EA79BF">
            <w:pPr>
              <w:pStyle w:val="ListParagraph"/>
              <w:numPr>
                <w:ilvl w:val="0"/>
                <w:numId w:val="36"/>
              </w:numPr>
              <w:adjustRightInd/>
              <w:snapToGrid/>
              <w:spacing w:after="0"/>
              <w:rPr>
                <w:lang w:val="en-GB"/>
              </w:rPr>
            </w:pPr>
            <w:r w:rsidRPr="007A5C5F">
              <w:rPr>
                <w:lang w:val="en-GB"/>
              </w:rPr>
              <w:t>USD 1,880,172.95(UNICEF)</w:t>
            </w:r>
          </w:p>
        </w:tc>
      </w:tr>
      <w:tr w:rsidR="00EA79BF" w:rsidRPr="007A5C5F" w14:paraId="34EB6BD9" w14:textId="77777777" w:rsidTr="00EE71C7">
        <w:tc>
          <w:tcPr>
            <w:tcW w:w="2263" w:type="dxa"/>
            <w:shd w:val="clear" w:color="auto" w:fill="EAF6F3"/>
            <w:tcMar>
              <w:top w:w="29" w:type="dxa"/>
              <w:left w:w="115" w:type="dxa"/>
              <w:bottom w:w="29" w:type="dxa"/>
              <w:right w:w="115" w:type="dxa"/>
            </w:tcMar>
          </w:tcPr>
          <w:p w14:paraId="1651E35B" w14:textId="77777777" w:rsidR="00EA79BF" w:rsidRPr="007A5C5F" w:rsidRDefault="00EA79BF" w:rsidP="00EE71C7">
            <w:pPr>
              <w:rPr>
                <w:b/>
                <w:lang w:val="en-GB"/>
              </w:rPr>
            </w:pPr>
            <w:r w:rsidRPr="007A5C5F">
              <w:rPr>
                <w:b/>
                <w:lang w:val="en-GB"/>
              </w:rPr>
              <w:t>Funding source</w:t>
            </w:r>
          </w:p>
        </w:tc>
        <w:tc>
          <w:tcPr>
            <w:tcW w:w="7087" w:type="dxa"/>
            <w:gridSpan w:val="2"/>
            <w:shd w:val="clear" w:color="auto" w:fill="EAF6F3"/>
            <w:tcMar>
              <w:top w:w="29" w:type="dxa"/>
              <w:left w:w="115" w:type="dxa"/>
              <w:bottom w:w="29" w:type="dxa"/>
              <w:right w:w="115" w:type="dxa"/>
            </w:tcMar>
          </w:tcPr>
          <w:p w14:paraId="5E8BD15B" w14:textId="77777777" w:rsidR="00EA79BF" w:rsidRPr="007A5C5F" w:rsidRDefault="00EA79BF" w:rsidP="00EE71C7">
            <w:pPr>
              <w:rPr>
                <w:bCs/>
                <w:lang w:val="en-GB"/>
              </w:rPr>
            </w:pPr>
            <w:r w:rsidRPr="007A5C5F">
              <w:rPr>
                <w:bCs/>
                <w:lang w:val="en-GB"/>
              </w:rPr>
              <w:t>EU - The EU Delegation to Sri Lanka and the Maldives</w:t>
            </w:r>
          </w:p>
        </w:tc>
      </w:tr>
      <w:tr w:rsidR="00EA79BF" w:rsidRPr="007A5C5F" w14:paraId="2FD4225E" w14:textId="77777777" w:rsidTr="00EE71C7">
        <w:tc>
          <w:tcPr>
            <w:tcW w:w="2263" w:type="dxa"/>
            <w:shd w:val="clear" w:color="auto" w:fill="EAF6F3"/>
            <w:tcMar>
              <w:top w:w="29" w:type="dxa"/>
              <w:left w:w="115" w:type="dxa"/>
              <w:bottom w:w="29" w:type="dxa"/>
              <w:right w:w="115" w:type="dxa"/>
            </w:tcMar>
          </w:tcPr>
          <w:p w14:paraId="46952ADD" w14:textId="77777777" w:rsidR="00EA79BF" w:rsidRPr="007A5C5F" w:rsidRDefault="00EA79BF" w:rsidP="00EE71C7">
            <w:pPr>
              <w:rPr>
                <w:b/>
                <w:lang w:val="en-GB"/>
              </w:rPr>
            </w:pPr>
            <w:r w:rsidRPr="007A5C5F">
              <w:rPr>
                <w:b/>
                <w:lang w:val="en-GB"/>
              </w:rPr>
              <w:t>Implementing party</w:t>
            </w:r>
            <w:r w:rsidRPr="007A5C5F">
              <w:rPr>
                <w:rStyle w:val="FootnoteReference"/>
                <w:rFonts w:eastAsiaTheme="minorHAnsi"/>
                <w:b/>
                <w:lang w:val="en-GB"/>
              </w:rPr>
              <w:footnoteReference w:id="1"/>
            </w:r>
          </w:p>
        </w:tc>
        <w:tc>
          <w:tcPr>
            <w:tcW w:w="7087" w:type="dxa"/>
            <w:gridSpan w:val="2"/>
            <w:shd w:val="clear" w:color="auto" w:fill="EAF6F3"/>
            <w:tcMar>
              <w:top w:w="29" w:type="dxa"/>
              <w:left w:w="115" w:type="dxa"/>
              <w:bottom w:w="29" w:type="dxa"/>
              <w:right w:w="115" w:type="dxa"/>
            </w:tcMar>
          </w:tcPr>
          <w:p w14:paraId="639A419D" w14:textId="77777777" w:rsidR="00EA79BF" w:rsidRPr="007A5C5F" w:rsidRDefault="00EA79BF" w:rsidP="00EE71C7">
            <w:pPr>
              <w:jc w:val="center"/>
              <w:rPr>
                <w:b/>
                <w:lang w:val="en-GB"/>
              </w:rPr>
            </w:pPr>
            <w:r w:rsidRPr="007A5C5F">
              <w:rPr>
                <w:lang w:val="en-GB"/>
              </w:rPr>
              <w:t>UNDP and UNICEF</w:t>
            </w:r>
          </w:p>
        </w:tc>
      </w:tr>
    </w:tbl>
    <w:p w14:paraId="78372D10" w14:textId="77777777" w:rsidR="00EA79BF" w:rsidRPr="007A5C5F" w:rsidRDefault="00EA79BF" w:rsidP="00EA79BF">
      <w:pPr>
        <w:pStyle w:val="ListParagraph"/>
        <w:numPr>
          <w:ilvl w:val="0"/>
          <w:numId w:val="0"/>
        </w:numPr>
        <w:spacing w:after="0"/>
        <w:ind w:left="360"/>
        <w:jc w:val="both"/>
        <w:rPr>
          <w:b/>
          <w:bCs/>
          <w:lang w:val="en-GB"/>
        </w:rPr>
      </w:pPr>
    </w:p>
    <w:tbl>
      <w:tblPr>
        <w:tblStyle w:val="TableGrid"/>
        <w:tblW w:w="0" w:type="auto"/>
        <w:tblBorders>
          <w:top w:val="single" w:sz="4" w:space="0" w:color="1E687C"/>
          <w:left w:val="single" w:sz="4" w:space="0" w:color="1E687C"/>
          <w:bottom w:val="single" w:sz="4" w:space="0" w:color="1E687C"/>
          <w:right w:val="single" w:sz="4" w:space="0" w:color="1E687C"/>
          <w:insideH w:val="single" w:sz="6" w:space="0" w:color="1E687C"/>
          <w:insideV w:val="single" w:sz="6" w:space="0" w:color="1E687C"/>
        </w:tblBorders>
        <w:shd w:val="clear" w:color="auto" w:fill="EAF6F3"/>
        <w:tblLook w:val="04A0" w:firstRow="1" w:lastRow="0" w:firstColumn="1" w:lastColumn="0" w:noHBand="0" w:noVBand="1"/>
      </w:tblPr>
      <w:tblGrid>
        <w:gridCol w:w="2972"/>
        <w:gridCol w:w="3230"/>
        <w:gridCol w:w="3148"/>
      </w:tblGrid>
      <w:tr w:rsidR="00EA79BF" w:rsidRPr="007A5C5F" w14:paraId="6974C3B8" w14:textId="77777777" w:rsidTr="00EE71C7">
        <w:trPr>
          <w:trHeight w:val="270"/>
        </w:trPr>
        <w:tc>
          <w:tcPr>
            <w:tcW w:w="9350" w:type="dxa"/>
            <w:gridSpan w:val="3"/>
            <w:shd w:val="clear" w:color="auto" w:fill="EAF6F3"/>
            <w:tcMar>
              <w:top w:w="29" w:type="dxa"/>
              <w:left w:w="115" w:type="dxa"/>
              <w:bottom w:w="29" w:type="dxa"/>
              <w:right w:w="115" w:type="dxa"/>
            </w:tcMar>
            <w:vAlign w:val="center"/>
          </w:tcPr>
          <w:p w14:paraId="77C8B280" w14:textId="77777777" w:rsidR="00EA79BF" w:rsidRPr="007A5C5F" w:rsidRDefault="00EA79BF" w:rsidP="00EE71C7">
            <w:pPr>
              <w:jc w:val="center"/>
              <w:rPr>
                <w:b/>
                <w:lang w:val="en-GB"/>
              </w:rPr>
            </w:pPr>
            <w:r w:rsidRPr="007A5C5F">
              <w:rPr>
                <w:b/>
                <w:lang w:val="en-GB"/>
              </w:rPr>
              <w:t>Evaluation information</w:t>
            </w:r>
          </w:p>
        </w:tc>
      </w:tr>
      <w:tr w:rsidR="00EA79BF" w:rsidRPr="007A5C5F" w14:paraId="0DECC83C" w14:textId="77777777" w:rsidTr="00EE71C7">
        <w:tc>
          <w:tcPr>
            <w:tcW w:w="2972" w:type="dxa"/>
            <w:shd w:val="clear" w:color="auto" w:fill="EAF6F3"/>
            <w:tcMar>
              <w:top w:w="29" w:type="dxa"/>
              <w:left w:w="115" w:type="dxa"/>
              <w:bottom w:w="29" w:type="dxa"/>
              <w:right w:w="115" w:type="dxa"/>
            </w:tcMar>
          </w:tcPr>
          <w:p w14:paraId="3F856759" w14:textId="77777777" w:rsidR="00EA79BF" w:rsidRPr="007A5C5F" w:rsidRDefault="00EA79BF" w:rsidP="00EE71C7">
            <w:pPr>
              <w:rPr>
                <w:b/>
                <w:lang w:val="en-GB"/>
              </w:rPr>
            </w:pPr>
            <w:r w:rsidRPr="007A5C5F">
              <w:rPr>
                <w:b/>
                <w:lang w:val="en-GB"/>
              </w:rPr>
              <w:t>Evaluation type (project/ outcome/thematic/country programme, etc.)</w:t>
            </w:r>
          </w:p>
        </w:tc>
        <w:tc>
          <w:tcPr>
            <w:tcW w:w="6378" w:type="dxa"/>
            <w:gridSpan w:val="2"/>
            <w:shd w:val="clear" w:color="auto" w:fill="EAF6F3"/>
            <w:tcMar>
              <w:top w:w="29" w:type="dxa"/>
              <w:left w:w="115" w:type="dxa"/>
              <w:bottom w:w="29" w:type="dxa"/>
              <w:right w:w="115" w:type="dxa"/>
            </w:tcMar>
          </w:tcPr>
          <w:p w14:paraId="7BDAA4AF" w14:textId="77777777" w:rsidR="00EA79BF" w:rsidRPr="007A5C5F" w:rsidRDefault="00EA79BF" w:rsidP="00EE71C7">
            <w:pPr>
              <w:jc w:val="center"/>
              <w:rPr>
                <w:lang w:val="en-GB"/>
              </w:rPr>
            </w:pPr>
            <w:r w:rsidRPr="007A5C5F">
              <w:rPr>
                <w:lang w:val="en-GB"/>
              </w:rPr>
              <w:t xml:space="preserve">Project </w:t>
            </w:r>
          </w:p>
        </w:tc>
      </w:tr>
      <w:tr w:rsidR="00EA79BF" w:rsidRPr="007A5C5F" w14:paraId="05CCF360" w14:textId="77777777" w:rsidTr="00EE71C7">
        <w:tc>
          <w:tcPr>
            <w:tcW w:w="2972" w:type="dxa"/>
            <w:shd w:val="clear" w:color="auto" w:fill="EAF6F3"/>
            <w:tcMar>
              <w:top w:w="29" w:type="dxa"/>
              <w:left w:w="115" w:type="dxa"/>
              <w:bottom w:w="29" w:type="dxa"/>
              <w:right w:w="115" w:type="dxa"/>
            </w:tcMar>
          </w:tcPr>
          <w:p w14:paraId="4FCA669C" w14:textId="77777777" w:rsidR="00EA79BF" w:rsidRPr="007A5C5F" w:rsidRDefault="00EA79BF" w:rsidP="00EE71C7">
            <w:pPr>
              <w:rPr>
                <w:b/>
                <w:lang w:val="en-GB"/>
              </w:rPr>
            </w:pPr>
            <w:r w:rsidRPr="007A5C5F">
              <w:rPr>
                <w:b/>
                <w:lang w:val="en-GB"/>
              </w:rPr>
              <w:t>Final/midterm review/ other</w:t>
            </w:r>
          </w:p>
        </w:tc>
        <w:tc>
          <w:tcPr>
            <w:tcW w:w="6378" w:type="dxa"/>
            <w:gridSpan w:val="2"/>
            <w:shd w:val="clear" w:color="auto" w:fill="EAF6F3"/>
            <w:tcMar>
              <w:top w:w="29" w:type="dxa"/>
              <w:left w:w="115" w:type="dxa"/>
              <w:bottom w:w="29" w:type="dxa"/>
              <w:right w:w="115" w:type="dxa"/>
            </w:tcMar>
          </w:tcPr>
          <w:p w14:paraId="22CF4D15" w14:textId="77777777" w:rsidR="00EA79BF" w:rsidRPr="007A5C5F" w:rsidRDefault="00EA79BF" w:rsidP="00EE71C7">
            <w:pPr>
              <w:jc w:val="center"/>
              <w:rPr>
                <w:lang w:val="en-GB"/>
              </w:rPr>
            </w:pPr>
            <w:r w:rsidRPr="007A5C5F">
              <w:rPr>
                <w:lang w:val="en-GB"/>
              </w:rPr>
              <w:t xml:space="preserve">Midterm </w:t>
            </w:r>
          </w:p>
        </w:tc>
      </w:tr>
      <w:tr w:rsidR="00EA79BF" w:rsidRPr="007A5C5F" w14:paraId="1CEA3B94" w14:textId="77777777" w:rsidTr="00EE71C7">
        <w:tc>
          <w:tcPr>
            <w:tcW w:w="2972" w:type="dxa"/>
            <w:vMerge w:val="restart"/>
            <w:shd w:val="clear" w:color="auto" w:fill="EAF6F3"/>
            <w:tcMar>
              <w:top w:w="29" w:type="dxa"/>
              <w:left w:w="115" w:type="dxa"/>
              <w:bottom w:w="29" w:type="dxa"/>
              <w:right w:w="115" w:type="dxa"/>
            </w:tcMar>
          </w:tcPr>
          <w:p w14:paraId="22A16E10" w14:textId="77777777" w:rsidR="00EA79BF" w:rsidRPr="007A5C5F" w:rsidRDefault="00EA79BF" w:rsidP="00EE71C7">
            <w:pPr>
              <w:rPr>
                <w:b/>
                <w:lang w:val="en-GB"/>
              </w:rPr>
            </w:pPr>
            <w:r w:rsidRPr="007A5C5F">
              <w:rPr>
                <w:b/>
                <w:lang w:val="en-GB"/>
              </w:rPr>
              <w:t>Period under evaluation</w:t>
            </w:r>
          </w:p>
        </w:tc>
        <w:tc>
          <w:tcPr>
            <w:tcW w:w="3230" w:type="dxa"/>
            <w:shd w:val="clear" w:color="auto" w:fill="EAF6F3"/>
            <w:tcMar>
              <w:top w:w="29" w:type="dxa"/>
              <w:left w:w="115" w:type="dxa"/>
              <w:bottom w:w="29" w:type="dxa"/>
              <w:right w:w="115" w:type="dxa"/>
            </w:tcMar>
          </w:tcPr>
          <w:p w14:paraId="26081A88" w14:textId="77777777" w:rsidR="00EA79BF" w:rsidRPr="007A5C5F" w:rsidRDefault="00EA79BF" w:rsidP="00EE71C7">
            <w:pPr>
              <w:jc w:val="center"/>
              <w:rPr>
                <w:b/>
                <w:lang w:val="en-GB"/>
              </w:rPr>
            </w:pPr>
            <w:r w:rsidRPr="007A5C5F">
              <w:rPr>
                <w:b/>
                <w:lang w:val="en-GB"/>
              </w:rPr>
              <w:t>Start</w:t>
            </w:r>
          </w:p>
        </w:tc>
        <w:tc>
          <w:tcPr>
            <w:tcW w:w="3148" w:type="dxa"/>
            <w:shd w:val="clear" w:color="auto" w:fill="EAF6F3"/>
            <w:tcMar>
              <w:top w:w="29" w:type="dxa"/>
              <w:left w:w="115" w:type="dxa"/>
              <w:bottom w:w="29" w:type="dxa"/>
              <w:right w:w="115" w:type="dxa"/>
            </w:tcMar>
          </w:tcPr>
          <w:p w14:paraId="1FEE8828" w14:textId="77777777" w:rsidR="00EA79BF" w:rsidRPr="007A5C5F" w:rsidRDefault="00EA79BF" w:rsidP="00EE71C7">
            <w:pPr>
              <w:jc w:val="center"/>
              <w:rPr>
                <w:b/>
                <w:lang w:val="en-GB"/>
              </w:rPr>
            </w:pPr>
            <w:r w:rsidRPr="007A5C5F">
              <w:rPr>
                <w:b/>
                <w:lang w:val="en-GB"/>
              </w:rPr>
              <w:t>End</w:t>
            </w:r>
          </w:p>
        </w:tc>
      </w:tr>
      <w:tr w:rsidR="00EA79BF" w:rsidRPr="007A5C5F" w14:paraId="76A33DA3" w14:textId="77777777" w:rsidTr="00EE71C7">
        <w:tc>
          <w:tcPr>
            <w:tcW w:w="2972" w:type="dxa"/>
            <w:vMerge/>
            <w:shd w:val="clear" w:color="auto" w:fill="EAF6F3"/>
            <w:tcMar>
              <w:top w:w="29" w:type="dxa"/>
              <w:left w:w="115" w:type="dxa"/>
              <w:bottom w:w="29" w:type="dxa"/>
              <w:right w:w="115" w:type="dxa"/>
            </w:tcMar>
          </w:tcPr>
          <w:p w14:paraId="60FC5675" w14:textId="77777777" w:rsidR="00EA79BF" w:rsidRPr="007A5C5F" w:rsidRDefault="00EA79BF" w:rsidP="00EE71C7">
            <w:pPr>
              <w:rPr>
                <w:b/>
                <w:lang w:val="en-GB"/>
              </w:rPr>
            </w:pPr>
          </w:p>
        </w:tc>
        <w:tc>
          <w:tcPr>
            <w:tcW w:w="3230" w:type="dxa"/>
            <w:shd w:val="clear" w:color="auto" w:fill="EAF6F3"/>
            <w:tcMar>
              <w:top w:w="29" w:type="dxa"/>
              <w:left w:w="115" w:type="dxa"/>
              <w:bottom w:w="29" w:type="dxa"/>
              <w:right w:w="115" w:type="dxa"/>
            </w:tcMar>
          </w:tcPr>
          <w:p w14:paraId="4B8DC176" w14:textId="77777777" w:rsidR="00EA79BF" w:rsidRPr="007A5C5F" w:rsidRDefault="00EA79BF" w:rsidP="00EE71C7">
            <w:pPr>
              <w:jc w:val="center"/>
              <w:rPr>
                <w:lang w:val="en-GB"/>
              </w:rPr>
            </w:pPr>
            <w:r w:rsidRPr="007A5C5F">
              <w:rPr>
                <w:lang w:val="en-GB"/>
              </w:rPr>
              <w:t>01 January 2022</w:t>
            </w:r>
          </w:p>
        </w:tc>
        <w:tc>
          <w:tcPr>
            <w:tcW w:w="3148" w:type="dxa"/>
            <w:shd w:val="clear" w:color="auto" w:fill="EAF6F3"/>
            <w:tcMar>
              <w:top w:w="29" w:type="dxa"/>
              <w:left w:w="115" w:type="dxa"/>
              <w:bottom w:w="29" w:type="dxa"/>
              <w:right w:w="115" w:type="dxa"/>
            </w:tcMar>
          </w:tcPr>
          <w:p w14:paraId="1843A87B" w14:textId="77777777" w:rsidR="00EA79BF" w:rsidRPr="007A5C5F" w:rsidRDefault="00EA79BF" w:rsidP="00EE71C7">
            <w:pPr>
              <w:jc w:val="center"/>
              <w:rPr>
                <w:lang w:val="en-GB"/>
              </w:rPr>
            </w:pPr>
            <w:r w:rsidRPr="007A5C5F">
              <w:rPr>
                <w:lang w:val="en-GB"/>
              </w:rPr>
              <w:t>31 May 2024</w:t>
            </w:r>
          </w:p>
        </w:tc>
      </w:tr>
      <w:tr w:rsidR="00EA79BF" w:rsidRPr="007A5C5F" w14:paraId="6B0AA8C2" w14:textId="77777777" w:rsidTr="00EE71C7">
        <w:tc>
          <w:tcPr>
            <w:tcW w:w="2972" w:type="dxa"/>
            <w:shd w:val="clear" w:color="auto" w:fill="EAF6F3"/>
            <w:tcMar>
              <w:top w:w="29" w:type="dxa"/>
              <w:left w:w="115" w:type="dxa"/>
              <w:bottom w:w="29" w:type="dxa"/>
              <w:right w:w="115" w:type="dxa"/>
            </w:tcMar>
          </w:tcPr>
          <w:p w14:paraId="6F8096F0" w14:textId="77777777" w:rsidR="00EA79BF" w:rsidRPr="007A5C5F" w:rsidRDefault="00EA79BF" w:rsidP="00EE71C7">
            <w:pPr>
              <w:rPr>
                <w:b/>
                <w:lang w:val="en-GB"/>
              </w:rPr>
            </w:pPr>
            <w:r w:rsidRPr="007A5C5F">
              <w:rPr>
                <w:b/>
                <w:lang w:val="en-GB"/>
              </w:rPr>
              <w:t>Evaluators</w:t>
            </w:r>
          </w:p>
        </w:tc>
        <w:tc>
          <w:tcPr>
            <w:tcW w:w="6378" w:type="dxa"/>
            <w:gridSpan w:val="2"/>
            <w:shd w:val="clear" w:color="auto" w:fill="EAF6F3"/>
            <w:tcMar>
              <w:top w:w="29" w:type="dxa"/>
              <w:left w:w="115" w:type="dxa"/>
              <w:bottom w:w="29" w:type="dxa"/>
              <w:right w:w="115" w:type="dxa"/>
            </w:tcMar>
          </w:tcPr>
          <w:p w14:paraId="332B77CA" w14:textId="77777777" w:rsidR="00EA79BF" w:rsidRPr="007A5C5F" w:rsidRDefault="00EA79BF" w:rsidP="00EE71C7">
            <w:pPr>
              <w:rPr>
                <w:lang w:val="en-GB"/>
              </w:rPr>
            </w:pPr>
            <w:r w:rsidRPr="007A5C5F">
              <w:rPr>
                <w:lang w:val="en-GB"/>
              </w:rPr>
              <w:t>Team Leader: Bunafsha Gulakova, International expert</w:t>
            </w:r>
          </w:p>
          <w:p w14:paraId="259F4AF0" w14:textId="77777777" w:rsidR="00EA79BF" w:rsidRPr="007A5C5F" w:rsidRDefault="00EA79BF" w:rsidP="00EE71C7">
            <w:pPr>
              <w:rPr>
                <w:lang w:val="en-GB"/>
              </w:rPr>
            </w:pPr>
            <w:r w:rsidRPr="007A5C5F">
              <w:rPr>
                <w:lang w:val="en-GB"/>
              </w:rPr>
              <w:t xml:space="preserve">Marga Institute: Amar Gunatilleke, </w:t>
            </w:r>
            <w:r w:rsidRPr="009E2B5C">
              <w:rPr>
                <w:lang w:val="en-GB"/>
              </w:rPr>
              <w:t>Executive Vice Chairman</w:t>
            </w:r>
          </w:p>
        </w:tc>
      </w:tr>
      <w:tr w:rsidR="00EA79BF" w:rsidRPr="007A5C5F" w14:paraId="40AB70C0" w14:textId="77777777" w:rsidTr="00EE71C7">
        <w:tc>
          <w:tcPr>
            <w:tcW w:w="2972" w:type="dxa"/>
            <w:shd w:val="clear" w:color="auto" w:fill="EAF6F3"/>
            <w:tcMar>
              <w:top w:w="29" w:type="dxa"/>
              <w:left w:w="115" w:type="dxa"/>
              <w:bottom w:w="29" w:type="dxa"/>
              <w:right w:w="115" w:type="dxa"/>
            </w:tcMar>
          </w:tcPr>
          <w:p w14:paraId="12F916EF" w14:textId="77777777" w:rsidR="00EA79BF" w:rsidRPr="007A5C5F" w:rsidRDefault="00EA79BF" w:rsidP="00EE71C7">
            <w:pPr>
              <w:rPr>
                <w:b/>
                <w:lang w:val="en-GB"/>
              </w:rPr>
            </w:pPr>
            <w:r w:rsidRPr="007A5C5F">
              <w:rPr>
                <w:b/>
                <w:lang w:val="en-GB"/>
              </w:rPr>
              <w:t>Evaluator email address</w:t>
            </w:r>
          </w:p>
        </w:tc>
        <w:tc>
          <w:tcPr>
            <w:tcW w:w="3230" w:type="dxa"/>
            <w:shd w:val="clear" w:color="auto" w:fill="EAF6F3"/>
            <w:tcMar>
              <w:top w:w="29" w:type="dxa"/>
              <w:left w:w="115" w:type="dxa"/>
              <w:bottom w:w="29" w:type="dxa"/>
              <w:right w:w="115" w:type="dxa"/>
            </w:tcMar>
          </w:tcPr>
          <w:p w14:paraId="78F19D6C" w14:textId="77777777" w:rsidR="00EA79BF" w:rsidRPr="007A5C5F" w:rsidRDefault="00EA79BF" w:rsidP="00EE71C7">
            <w:pPr>
              <w:jc w:val="center"/>
              <w:rPr>
                <w:lang w:val="en-GB"/>
              </w:rPr>
            </w:pPr>
            <w:r w:rsidRPr="007A5C5F">
              <w:rPr>
                <w:lang w:val="en-GB"/>
              </w:rPr>
              <w:t>gulakovabunafsha@gmail.com</w:t>
            </w:r>
          </w:p>
        </w:tc>
        <w:tc>
          <w:tcPr>
            <w:tcW w:w="3148" w:type="dxa"/>
            <w:shd w:val="clear" w:color="auto" w:fill="EAF6F3"/>
            <w:tcMar>
              <w:top w:w="29" w:type="dxa"/>
              <w:left w:w="115" w:type="dxa"/>
              <w:bottom w:w="29" w:type="dxa"/>
              <w:right w:w="115" w:type="dxa"/>
            </w:tcMar>
          </w:tcPr>
          <w:p w14:paraId="683126D4" w14:textId="77777777" w:rsidR="00EA79BF" w:rsidRPr="007A5C5F" w:rsidRDefault="00EA79BF" w:rsidP="00EE71C7">
            <w:pPr>
              <w:jc w:val="center"/>
              <w:rPr>
                <w:lang w:val="en-GB"/>
              </w:rPr>
            </w:pPr>
            <w:hyperlink r:id="rId18" w:history="1">
              <w:r w:rsidRPr="007A5C5F">
                <w:rPr>
                  <w:rStyle w:val="Hyperlink"/>
                  <w:rFonts w:eastAsiaTheme="minorEastAsia"/>
                  <w:lang w:val="en-GB"/>
                </w:rPr>
                <w:t>amar@margasrilanka.org </w:t>
              </w:r>
            </w:hyperlink>
          </w:p>
        </w:tc>
      </w:tr>
      <w:tr w:rsidR="00EA79BF" w:rsidRPr="007A5C5F" w14:paraId="4EA009AE" w14:textId="77777777" w:rsidTr="00EE71C7">
        <w:tc>
          <w:tcPr>
            <w:tcW w:w="2972" w:type="dxa"/>
            <w:shd w:val="clear" w:color="auto" w:fill="EAF6F3"/>
            <w:tcMar>
              <w:top w:w="29" w:type="dxa"/>
              <w:left w:w="115" w:type="dxa"/>
              <w:bottom w:w="29" w:type="dxa"/>
              <w:right w:w="115" w:type="dxa"/>
            </w:tcMar>
          </w:tcPr>
          <w:p w14:paraId="0C115882" w14:textId="77777777" w:rsidR="00EA79BF" w:rsidRPr="007A5C5F" w:rsidRDefault="00EA79BF" w:rsidP="00EE71C7">
            <w:pPr>
              <w:rPr>
                <w:b/>
                <w:lang w:val="en-GB"/>
              </w:rPr>
            </w:pPr>
            <w:r w:rsidRPr="007A5C5F">
              <w:rPr>
                <w:b/>
                <w:lang w:val="en-GB"/>
              </w:rPr>
              <w:t>Evaluation dates</w:t>
            </w:r>
          </w:p>
        </w:tc>
        <w:tc>
          <w:tcPr>
            <w:tcW w:w="3230" w:type="dxa"/>
            <w:shd w:val="clear" w:color="auto" w:fill="EAF6F3"/>
            <w:tcMar>
              <w:top w:w="29" w:type="dxa"/>
              <w:left w:w="115" w:type="dxa"/>
              <w:bottom w:w="29" w:type="dxa"/>
              <w:right w:w="115" w:type="dxa"/>
            </w:tcMar>
          </w:tcPr>
          <w:p w14:paraId="107D3624" w14:textId="77777777" w:rsidR="00EA79BF" w:rsidRPr="007A5C5F" w:rsidRDefault="00EA79BF" w:rsidP="00EE71C7">
            <w:pPr>
              <w:jc w:val="center"/>
              <w:rPr>
                <w:b/>
                <w:lang w:val="en-GB"/>
              </w:rPr>
            </w:pPr>
            <w:r w:rsidRPr="007A5C5F">
              <w:rPr>
                <w:b/>
                <w:lang w:val="en-GB"/>
              </w:rPr>
              <w:t>Start</w:t>
            </w:r>
          </w:p>
        </w:tc>
        <w:tc>
          <w:tcPr>
            <w:tcW w:w="3148" w:type="dxa"/>
            <w:shd w:val="clear" w:color="auto" w:fill="EAF6F3"/>
            <w:tcMar>
              <w:top w:w="29" w:type="dxa"/>
              <w:left w:w="115" w:type="dxa"/>
              <w:bottom w:w="29" w:type="dxa"/>
              <w:right w:w="115" w:type="dxa"/>
            </w:tcMar>
          </w:tcPr>
          <w:p w14:paraId="2E92BE6C" w14:textId="77777777" w:rsidR="00EA79BF" w:rsidRPr="007A5C5F" w:rsidRDefault="00EA79BF" w:rsidP="00EE71C7">
            <w:pPr>
              <w:jc w:val="center"/>
              <w:rPr>
                <w:b/>
                <w:lang w:val="en-GB"/>
              </w:rPr>
            </w:pPr>
            <w:r w:rsidRPr="007A5C5F">
              <w:rPr>
                <w:b/>
                <w:lang w:val="en-GB"/>
              </w:rPr>
              <w:t>Completion</w:t>
            </w:r>
          </w:p>
        </w:tc>
      </w:tr>
      <w:tr w:rsidR="00EA79BF" w:rsidRPr="007A5C5F" w14:paraId="0DB78F84" w14:textId="77777777" w:rsidTr="00EE71C7">
        <w:tc>
          <w:tcPr>
            <w:tcW w:w="2972" w:type="dxa"/>
            <w:shd w:val="clear" w:color="auto" w:fill="EAF6F3"/>
            <w:tcMar>
              <w:top w:w="29" w:type="dxa"/>
              <w:left w:w="115" w:type="dxa"/>
              <w:bottom w:w="29" w:type="dxa"/>
              <w:right w:w="115" w:type="dxa"/>
            </w:tcMar>
          </w:tcPr>
          <w:p w14:paraId="6CA026E2" w14:textId="77777777" w:rsidR="00EA79BF" w:rsidRPr="007A5C5F" w:rsidRDefault="00EA79BF" w:rsidP="00EE71C7">
            <w:pPr>
              <w:rPr>
                <w:b/>
                <w:lang w:val="en-GB"/>
              </w:rPr>
            </w:pPr>
          </w:p>
        </w:tc>
        <w:tc>
          <w:tcPr>
            <w:tcW w:w="3230" w:type="dxa"/>
            <w:shd w:val="clear" w:color="auto" w:fill="EAF6F3"/>
            <w:tcMar>
              <w:top w:w="29" w:type="dxa"/>
              <w:left w:w="115" w:type="dxa"/>
              <w:bottom w:w="29" w:type="dxa"/>
              <w:right w:w="115" w:type="dxa"/>
            </w:tcMar>
          </w:tcPr>
          <w:p w14:paraId="5700A1AA" w14:textId="77777777" w:rsidR="00EA79BF" w:rsidRPr="007A5C5F" w:rsidRDefault="00EA79BF" w:rsidP="00EE71C7">
            <w:pPr>
              <w:jc w:val="center"/>
              <w:rPr>
                <w:lang w:val="en-GB"/>
              </w:rPr>
            </w:pPr>
            <w:r w:rsidRPr="007A5C5F">
              <w:rPr>
                <w:lang w:val="en-GB"/>
              </w:rPr>
              <w:t>6 September 2024</w:t>
            </w:r>
          </w:p>
        </w:tc>
        <w:tc>
          <w:tcPr>
            <w:tcW w:w="3148" w:type="dxa"/>
            <w:shd w:val="clear" w:color="auto" w:fill="EAF6F3"/>
            <w:tcMar>
              <w:top w:w="29" w:type="dxa"/>
              <w:left w:w="115" w:type="dxa"/>
              <w:bottom w:w="29" w:type="dxa"/>
              <w:right w:w="115" w:type="dxa"/>
            </w:tcMar>
          </w:tcPr>
          <w:p w14:paraId="4E46D072" w14:textId="77777777" w:rsidR="00EA79BF" w:rsidRPr="007A5C5F" w:rsidRDefault="00EA79BF" w:rsidP="00EE71C7">
            <w:pPr>
              <w:jc w:val="center"/>
              <w:rPr>
                <w:lang w:val="en-GB"/>
              </w:rPr>
            </w:pPr>
            <w:r w:rsidRPr="007A5C5F">
              <w:rPr>
                <w:lang w:val="en-GB"/>
              </w:rPr>
              <w:t>8 January 2025</w:t>
            </w:r>
          </w:p>
        </w:tc>
      </w:tr>
    </w:tbl>
    <w:p w14:paraId="037571EC" w14:textId="77777777" w:rsidR="00EA79BF" w:rsidRDefault="00EA79BF" w:rsidP="00EA79BF">
      <w:pPr>
        <w:rPr>
          <w:lang w:val="en-GB"/>
        </w:rPr>
      </w:pPr>
    </w:p>
    <w:p w14:paraId="5173462E" w14:textId="77777777" w:rsidR="00BB5E24" w:rsidRDefault="00BB5E24" w:rsidP="00EA79BF">
      <w:pPr>
        <w:rPr>
          <w:lang w:val="en-GB"/>
        </w:rPr>
      </w:pPr>
    </w:p>
    <w:p w14:paraId="2A301230" w14:textId="77777777" w:rsidR="00BB5E24" w:rsidRDefault="00BB5E24" w:rsidP="00EA79BF">
      <w:pPr>
        <w:rPr>
          <w:lang w:val="en-GB"/>
        </w:rPr>
      </w:pPr>
    </w:p>
    <w:p w14:paraId="216EB9B7" w14:textId="77777777" w:rsidR="00BB5E24" w:rsidRDefault="00BB5E24" w:rsidP="00EA79BF">
      <w:pPr>
        <w:rPr>
          <w:lang w:val="en-GB"/>
        </w:rPr>
      </w:pPr>
    </w:p>
    <w:p w14:paraId="778ED6E0" w14:textId="77777777" w:rsidR="00BB5E24" w:rsidRDefault="00BB5E24" w:rsidP="00EA79BF">
      <w:pPr>
        <w:rPr>
          <w:lang w:val="en-GB"/>
        </w:rPr>
      </w:pPr>
    </w:p>
    <w:p w14:paraId="47140473" w14:textId="77777777" w:rsidR="00BB5E24" w:rsidRDefault="00BB5E24" w:rsidP="00EA79BF">
      <w:pPr>
        <w:rPr>
          <w:lang w:val="en-GB"/>
        </w:rPr>
      </w:pPr>
    </w:p>
    <w:p w14:paraId="5D2A50BA" w14:textId="77777777" w:rsidR="00EC302A" w:rsidRDefault="00EC302A" w:rsidP="00BB5E24">
      <w:pPr>
        <w:jc w:val="center"/>
        <w:rPr>
          <w:b/>
          <w:bCs/>
          <w:color w:val="ED7D31" w:themeColor="accent2"/>
          <w:sz w:val="22"/>
          <w:szCs w:val="22"/>
        </w:rPr>
      </w:pPr>
    </w:p>
    <w:p w14:paraId="17A692D2" w14:textId="77777777" w:rsidR="00EC302A" w:rsidRDefault="00EC302A" w:rsidP="00BB5E24">
      <w:pPr>
        <w:jc w:val="center"/>
        <w:rPr>
          <w:b/>
          <w:bCs/>
          <w:color w:val="ED7D31" w:themeColor="accent2"/>
          <w:sz w:val="22"/>
          <w:szCs w:val="22"/>
        </w:rPr>
      </w:pPr>
    </w:p>
    <w:p w14:paraId="63C4B39D" w14:textId="77777777" w:rsidR="00EC302A" w:rsidRDefault="00EC302A" w:rsidP="00BB5E24">
      <w:pPr>
        <w:jc w:val="center"/>
        <w:rPr>
          <w:b/>
          <w:bCs/>
          <w:color w:val="ED7D31" w:themeColor="accent2"/>
          <w:sz w:val="22"/>
          <w:szCs w:val="22"/>
        </w:rPr>
      </w:pPr>
    </w:p>
    <w:p w14:paraId="7B19CD11" w14:textId="77777777" w:rsidR="00EC302A" w:rsidRDefault="00EC302A" w:rsidP="00BB5E24">
      <w:pPr>
        <w:jc w:val="center"/>
        <w:rPr>
          <w:b/>
          <w:bCs/>
          <w:color w:val="ED7D31" w:themeColor="accent2"/>
          <w:sz w:val="22"/>
          <w:szCs w:val="22"/>
        </w:rPr>
      </w:pPr>
    </w:p>
    <w:p w14:paraId="0F8BD94F" w14:textId="77777777" w:rsidR="00EC302A" w:rsidRDefault="00EC302A" w:rsidP="00BB5E24">
      <w:pPr>
        <w:jc w:val="center"/>
        <w:rPr>
          <w:b/>
          <w:bCs/>
          <w:color w:val="ED7D31" w:themeColor="accent2"/>
          <w:sz w:val="22"/>
          <w:szCs w:val="22"/>
        </w:rPr>
      </w:pPr>
    </w:p>
    <w:p w14:paraId="7492BAF6" w14:textId="77777777" w:rsidR="00EC302A" w:rsidRDefault="00EC302A" w:rsidP="00BB5E24">
      <w:pPr>
        <w:jc w:val="center"/>
        <w:rPr>
          <w:b/>
          <w:bCs/>
          <w:color w:val="ED7D31" w:themeColor="accent2"/>
          <w:sz w:val="22"/>
          <w:szCs w:val="22"/>
        </w:rPr>
      </w:pPr>
    </w:p>
    <w:p w14:paraId="00013BB5" w14:textId="77777777" w:rsidR="00EC302A" w:rsidRDefault="00EC302A" w:rsidP="00BB5E24">
      <w:pPr>
        <w:jc w:val="center"/>
        <w:rPr>
          <w:b/>
          <w:bCs/>
          <w:color w:val="ED7D31" w:themeColor="accent2"/>
          <w:sz w:val="22"/>
          <w:szCs w:val="22"/>
        </w:rPr>
      </w:pPr>
    </w:p>
    <w:p w14:paraId="4EC4D5DC" w14:textId="77777777" w:rsidR="00EC302A" w:rsidRDefault="00EC302A" w:rsidP="00BB5E24">
      <w:pPr>
        <w:jc w:val="center"/>
        <w:rPr>
          <w:b/>
          <w:bCs/>
          <w:color w:val="ED7D31" w:themeColor="accent2"/>
          <w:sz w:val="22"/>
          <w:szCs w:val="22"/>
        </w:rPr>
      </w:pPr>
    </w:p>
    <w:p w14:paraId="77DB4EAF" w14:textId="77777777" w:rsidR="00EC302A" w:rsidRDefault="00EC302A" w:rsidP="00BB5E24">
      <w:pPr>
        <w:jc w:val="center"/>
        <w:rPr>
          <w:b/>
          <w:bCs/>
          <w:color w:val="ED7D31" w:themeColor="accent2"/>
          <w:sz w:val="22"/>
          <w:szCs w:val="22"/>
        </w:rPr>
      </w:pPr>
    </w:p>
    <w:p w14:paraId="1E75FD8C" w14:textId="1025091D" w:rsidR="00BB5E24" w:rsidRDefault="00BB5E24" w:rsidP="00BB5E24">
      <w:pPr>
        <w:jc w:val="center"/>
        <w:rPr>
          <w:b/>
          <w:bCs/>
          <w:color w:val="ED7D31" w:themeColor="accent2"/>
          <w:sz w:val="22"/>
          <w:szCs w:val="22"/>
        </w:rPr>
      </w:pPr>
      <w:r w:rsidRPr="00BB5E24">
        <w:rPr>
          <w:b/>
          <w:bCs/>
          <w:color w:val="ED7D31" w:themeColor="accent2"/>
          <w:sz w:val="22"/>
          <w:szCs w:val="22"/>
        </w:rPr>
        <w:t>Acknowledgements</w:t>
      </w:r>
    </w:p>
    <w:p w14:paraId="425B0813" w14:textId="77777777" w:rsidR="00EC302A" w:rsidRPr="00BB5E24" w:rsidRDefault="00EC302A" w:rsidP="00BB5E24">
      <w:pPr>
        <w:jc w:val="center"/>
        <w:rPr>
          <w:color w:val="ED7D31" w:themeColor="accent2"/>
          <w:sz w:val="22"/>
          <w:szCs w:val="22"/>
        </w:rPr>
      </w:pPr>
    </w:p>
    <w:p w14:paraId="433CC5E2" w14:textId="6C4CB79A" w:rsidR="00BB5E24" w:rsidRPr="00BB5E24" w:rsidRDefault="00BB5E24" w:rsidP="00EC302A">
      <w:pPr>
        <w:spacing w:line="276" w:lineRule="auto"/>
        <w:jc w:val="both"/>
        <w:rPr>
          <w:i/>
          <w:iCs/>
          <w:sz w:val="22"/>
          <w:szCs w:val="22"/>
        </w:rPr>
      </w:pPr>
      <w:r w:rsidRPr="00BB5E24">
        <w:rPr>
          <w:i/>
          <w:iCs/>
          <w:sz w:val="22"/>
          <w:szCs w:val="22"/>
        </w:rPr>
        <w:t xml:space="preserve">The evaluation team expresses its sincere gratitude to all those who contributed to this evaluation. We extend our special appreciation to the Evaluation Manager, </w:t>
      </w:r>
      <w:r w:rsidR="00D24919">
        <w:rPr>
          <w:i/>
          <w:iCs/>
          <w:sz w:val="22"/>
          <w:szCs w:val="22"/>
        </w:rPr>
        <w:t xml:space="preserve">Mr. </w:t>
      </w:r>
      <w:r w:rsidRPr="00BB5E24">
        <w:rPr>
          <w:i/>
          <w:iCs/>
          <w:sz w:val="22"/>
          <w:szCs w:val="22"/>
        </w:rPr>
        <w:t xml:space="preserve">Jothirajah Karunenthira, for his continuous support throughout the evaluation </w:t>
      </w:r>
      <w:r w:rsidR="00D24919" w:rsidRPr="00BB5E24">
        <w:rPr>
          <w:i/>
          <w:iCs/>
          <w:sz w:val="22"/>
          <w:szCs w:val="22"/>
        </w:rPr>
        <w:t>process. We</w:t>
      </w:r>
      <w:r w:rsidRPr="00BB5E24">
        <w:rPr>
          <w:i/>
          <w:iCs/>
          <w:sz w:val="22"/>
          <w:szCs w:val="22"/>
        </w:rPr>
        <w:t xml:space="preserve"> also thank the JURE project team, led by </w:t>
      </w:r>
      <w:r w:rsidR="00D24919">
        <w:rPr>
          <w:i/>
          <w:iCs/>
          <w:sz w:val="22"/>
          <w:szCs w:val="22"/>
        </w:rPr>
        <w:t xml:space="preserve">Mr. </w:t>
      </w:r>
      <w:r w:rsidRPr="00BB5E24">
        <w:rPr>
          <w:i/>
          <w:iCs/>
          <w:sz w:val="22"/>
          <w:szCs w:val="22"/>
        </w:rPr>
        <w:t>Arshid Jan, JURE Technical Specialist at UNDP</w:t>
      </w:r>
      <w:r w:rsidR="00D24919">
        <w:rPr>
          <w:i/>
          <w:iCs/>
          <w:sz w:val="22"/>
          <w:szCs w:val="22"/>
        </w:rPr>
        <w:t>, Ms.</w:t>
      </w:r>
      <w:r w:rsidRPr="00BB5E24">
        <w:rPr>
          <w:i/>
          <w:iCs/>
          <w:sz w:val="22"/>
          <w:szCs w:val="22"/>
        </w:rPr>
        <w:t xml:space="preserve"> Arathi Vinod, Manager-JURE at UNDP; and </w:t>
      </w:r>
      <w:r w:rsidR="00D24919">
        <w:rPr>
          <w:i/>
          <w:iCs/>
          <w:sz w:val="22"/>
          <w:szCs w:val="22"/>
        </w:rPr>
        <w:t xml:space="preserve">Ms. </w:t>
      </w:r>
      <w:r w:rsidRPr="00BB5E24">
        <w:rPr>
          <w:i/>
          <w:iCs/>
          <w:sz w:val="22"/>
          <w:szCs w:val="22"/>
        </w:rPr>
        <w:t xml:space="preserve">Teona Aslanishvili, Chief of Child Protection, for their invaluable assistance during the evaluation and in the preparation of this report. Our appreciation extends to </w:t>
      </w:r>
      <w:r w:rsidR="00D24919">
        <w:rPr>
          <w:i/>
          <w:iCs/>
          <w:sz w:val="22"/>
          <w:szCs w:val="22"/>
        </w:rPr>
        <w:t xml:space="preserve">Ms. </w:t>
      </w:r>
      <w:r w:rsidRPr="00BB5E24">
        <w:rPr>
          <w:i/>
          <w:iCs/>
          <w:sz w:val="22"/>
          <w:szCs w:val="22"/>
        </w:rPr>
        <w:t xml:space="preserve">Shashini Kulanayake, Child Protection Officer at UNICEF, as well as </w:t>
      </w:r>
      <w:r w:rsidR="00D24919">
        <w:rPr>
          <w:i/>
          <w:iCs/>
          <w:sz w:val="22"/>
          <w:szCs w:val="22"/>
        </w:rPr>
        <w:t xml:space="preserve">Ms. </w:t>
      </w:r>
      <w:r w:rsidRPr="00BB5E24">
        <w:rPr>
          <w:i/>
          <w:iCs/>
          <w:sz w:val="22"/>
          <w:szCs w:val="22"/>
        </w:rPr>
        <w:t xml:space="preserve">Petricia Wijetunge and </w:t>
      </w:r>
      <w:proofErr w:type="gramStart"/>
      <w:r w:rsidR="00D24919">
        <w:rPr>
          <w:i/>
          <w:iCs/>
          <w:sz w:val="22"/>
          <w:szCs w:val="22"/>
        </w:rPr>
        <w:t>Ms.</w:t>
      </w:r>
      <w:r w:rsidRPr="00BB5E24">
        <w:rPr>
          <w:i/>
          <w:iCs/>
          <w:sz w:val="22"/>
          <w:szCs w:val="22"/>
        </w:rPr>
        <w:t>Nazrin</w:t>
      </w:r>
      <w:proofErr w:type="gramEnd"/>
      <w:r w:rsidRPr="00BB5E24">
        <w:rPr>
          <w:i/>
          <w:iCs/>
          <w:sz w:val="22"/>
          <w:szCs w:val="22"/>
        </w:rPr>
        <w:t xml:space="preserve"> Jha from UNDP, for their support in organizing stakeholder meetings at both national and regional levels.</w:t>
      </w:r>
    </w:p>
    <w:p w14:paraId="0D804BDE" w14:textId="77777777" w:rsidR="00BB5E24" w:rsidRPr="00BB5E24" w:rsidRDefault="00BB5E24" w:rsidP="00EC302A">
      <w:pPr>
        <w:spacing w:line="276" w:lineRule="auto"/>
        <w:jc w:val="both"/>
        <w:rPr>
          <w:i/>
          <w:iCs/>
          <w:sz w:val="22"/>
          <w:szCs w:val="22"/>
        </w:rPr>
      </w:pPr>
      <w:r w:rsidRPr="00BB5E24">
        <w:rPr>
          <w:i/>
          <w:iCs/>
          <w:sz w:val="22"/>
          <w:szCs w:val="22"/>
        </w:rPr>
        <w:t>The evaluation team acknowledges the contributions of all JURE project partners who participated in the evaluation, including government representatives at the national level, academic and independent experts, representatives of the EU Delegation to Sri Lanka, and civil society organizations.</w:t>
      </w:r>
    </w:p>
    <w:p w14:paraId="0DEB322F" w14:textId="77777777" w:rsidR="00BB5E24" w:rsidRPr="00BB5E24" w:rsidRDefault="00BB5E24" w:rsidP="00EC302A">
      <w:pPr>
        <w:spacing w:line="276" w:lineRule="auto"/>
        <w:jc w:val="both"/>
        <w:rPr>
          <w:i/>
          <w:iCs/>
          <w:sz w:val="22"/>
          <w:szCs w:val="22"/>
        </w:rPr>
      </w:pPr>
      <w:r w:rsidRPr="00BB5E24">
        <w:rPr>
          <w:i/>
          <w:iCs/>
          <w:sz w:val="22"/>
          <w:szCs w:val="22"/>
        </w:rPr>
        <w:t>A special note of appreciation goes to the project’s final beneficiaries for their participation in the process. Their openness and willingness to share information were essential in providing a comprehensive assessment of the project's results.</w:t>
      </w:r>
    </w:p>
    <w:p w14:paraId="12F0E0D6" w14:textId="77777777" w:rsidR="00BB5E24" w:rsidRPr="00BB5E24" w:rsidRDefault="00BB5E24" w:rsidP="00EC302A">
      <w:pPr>
        <w:spacing w:line="276" w:lineRule="auto"/>
        <w:jc w:val="both"/>
        <w:rPr>
          <w:i/>
          <w:iCs/>
          <w:sz w:val="22"/>
          <w:szCs w:val="22"/>
        </w:rPr>
      </w:pPr>
      <w:r w:rsidRPr="00BB5E24">
        <w:rPr>
          <w:i/>
          <w:iCs/>
          <w:sz w:val="22"/>
          <w:szCs w:val="22"/>
        </w:rPr>
        <w:t>We also extend our gratitude to UNICEF for its support in building the capacity of the junior national staff of Marga in sensitive data collection, which was instrumental in ensuring the quality and integrity of the evaluation process.</w:t>
      </w:r>
    </w:p>
    <w:p w14:paraId="3DEE2837" w14:textId="52EB86A6" w:rsidR="00BB5E24" w:rsidRPr="00BB5E24" w:rsidRDefault="00BB5E24" w:rsidP="00EC302A">
      <w:pPr>
        <w:spacing w:line="276" w:lineRule="auto"/>
        <w:jc w:val="both"/>
        <w:rPr>
          <w:i/>
          <w:iCs/>
          <w:sz w:val="22"/>
          <w:szCs w:val="22"/>
        </w:rPr>
      </w:pPr>
      <w:r w:rsidRPr="00BB5E24">
        <w:rPr>
          <w:i/>
          <w:iCs/>
          <w:sz w:val="22"/>
          <w:szCs w:val="22"/>
        </w:rPr>
        <w:t>Finally, we extend our thanks to the Evaluation Advisory Group for their insightful review</w:t>
      </w:r>
      <w:r w:rsidRPr="00EC302A">
        <w:rPr>
          <w:i/>
          <w:iCs/>
          <w:sz w:val="22"/>
          <w:szCs w:val="22"/>
        </w:rPr>
        <w:t>, comments</w:t>
      </w:r>
      <w:r w:rsidRPr="00BB5E24">
        <w:rPr>
          <w:i/>
          <w:iCs/>
          <w:sz w:val="22"/>
          <w:szCs w:val="22"/>
        </w:rPr>
        <w:t xml:space="preserve"> and quality assurance of the evaluation deliverables.</w:t>
      </w:r>
    </w:p>
    <w:p w14:paraId="56097638" w14:textId="77777777" w:rsidR="00BB5E24" w:rsidRPr="007A5C5F" w:rsidRDefault="00BB5E24" w:rsidP="00EA79BF">
      <w:pPr>
        <w:rPr>
          <w:lang w:val="en-GB"/>
        </w:rPr>
        <w:sectPr w:rsidR="00BB5E24" w:rsidRPr="007A5C5F" w:rsidSect="00EA79BF">
          <w:headerReference w:type="first" r:id="rId19"/>
          <w:footerReference w:type="first" r:id="rId20"/>
          <w:pgSz w:w="11894" w:h="16834"/>
          <w:pgMar w:top="1440" w:right="1152" w:bottom="1152" w:left="1152" w:header="706" w:footer="706" w:gutter="0"/>
          <w:pgNumType w:fmt="lowerRoman"/>
          <w:cols w:space="708"/>
          <w:titlePg/>
          <w:docGrid w:linePitch="360"/>
        </w:sectPr>
      </w:pPr>
    </w:p>
    <w:p w14:paraId="4409362F" w14:textId="77777777" w:rsidR="00EA79BF" w:rsidRPr="007A5C5F" w:rsidRDefault="00EA79BF" w:rsidP="00EA79BF">
      <w:pPr>
        <w:pStyle w:val="Heading1"/>
        <w:jc w:val="center"/>
        <w:rPr>
          <w:rFonts w:ascii="Times New Roman" w:hAnsi="Times New Roman" w:cs="Times New Roman"/>
          <w:lang w:val="en-GB"/>
        </w:rPr>
      </w:pPr>
      <w:bookmarkStart w:id="0" w:name="_Toc188348242"/>
      <w:r w:rsidRPr="007A5C5F">
        <w:rPr>
          <w:rFonts w:ascii="Times New Roman" w:hAnsi="Times New Roman" w:cs="Times New Roman"/>
          <w:lang w:val="en-GB"/>
        </w:rPr>
        <w:lastRenderedPageBreak/>
        <w:t>CONTENTS</w:t>
      </w:r>
      <w:bookmarkEnd w:id="0"/>
    </w:p>
    <w:p w14:paraId="30707BDF"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r w:rsidRPr="007A5C5F">
        <w:rPr>
          <w:noProof w:val="0"/>
          <w:lang w:val="en-GB"/>
        </w:rPr>
        <w:fldChar w:fldCharType="begin"/>
      </w:r>
      <w:r w:rsidRPr="007A5C5F">
        <w:rPr>
          <w:noProof w:val="0"/>
          <w:lang w:val="en-GB"/>
        </w:rPr>
        <w:instrText xml:space="preserve"> TOC \o "1-2" \h \z \u </w:instrText>
      </w:r>
      <w:r w:rsidRPr="007A5C5F">
        <w:rPr>
          <w:noProof w:val="0"/>
          <w:lang w:val="en-GB"/>
        </w:rPr>
        <w:fldChar w:fldCharType="separate"/>
      </w:r>
      <w:hyperlink w:anchor="_Toc188348242" w:history="1">
        <w:r w:rsidRPr="007A5C5F">
          <w:rPr>
            <w:rStyle w:val="Hyperlink"/>
            <w:rFonts w:eastAsia="SimSun"/>
            <w:noProof w:val="0"/>
            <w:lang w:val="en-GB"/>
          </w:rPr>
          <w:t>CONTENTS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_Toc188348242 \h </w:instrText>
        </w:r>
        <w:r w:rsidRPr="007A5C5F">
          <w:rPr>
            <w:noProof w:val="0"/>
            <w:webHidden/>
            <w:lang w:val="en-GB"/>
          </w:rPr>
        </w:r>
        <w:r w:rsidRPr="007A5C5F">
          <w:rPr>
            <w:noProof w:val="0"/>
            <w:webHidden/>
            <w:lang w:val="en-GB"/>
          </w:rPr>
          <w:fldChar w:fldCharType="separate"/>
        </w:r>
        <w:r w:rsidRPr="007A5C5F">
          <w:rPr>
            <w:noProof w:val="0"/>
            <w:webHidden/>
            <w:lang w:val="en-GB"/>
          </w:rPr>
          <w:t>iii</w:t>
        </w:r>
        <w:r w:rsidRPr="007A5C5F">
          <w:rPr>
            <w:noProof w:val="0"/>
            <w:webHidden/>
            <w:lang w:val="en-GB"/>
          </w:rPr>
          <w:fldChar w:fldCharType="end"/>
        </w:r>
      </w:hyperlink>
    </w:p>
    <w:p w14:paraId="664CE8D6"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43" w:history="1">
        <w:r w:rsidRPr="007A5C5F">
          <w:rPr>
            <w:rStyle w:val="Hyperlink"/>
            <w:rFonts w:eastAsia="SimSun"/>
            <w:noProof w:val="0"/>
            <w:lang w:val="en-GB"/>
          </w:rPr>
          <w:t>ABBREVIATIONS AND ACRONYMS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_Toc188348243 \h </w:instrText>
        </w:r>
        <w:r w:rsidRPr="007A5C5F">
          <w:rPr>
            <w:noProof w:val="0"/>
            <w:webHidden/>
            <w:lang w:val="en-GB"/>
          </w:rPr>
        </w:r>
        <w:r w:rsidRPr="007A5C5F">
          <w:rPr>
            <w:noProof w:val="0"/>
            <w:webHidden/>
            <w:lang w:val="en-GB"/>
          </w:rPr>
          <w:fldChar w:fldCharType="separate"/>
        </w:r>
        <w:r w:rsidRPr="007A5C5F">
          <w:rPr>
            <w:noProof w:val="0"/>
            <w:webHidden/>
            <w:lang w:val="en-GB"/>
          </w:rPr>
          <w:t>5</w:t>
        </w:r>
        <w:r w:rsidRPr="007A5C5F">
          <w:rPr>
            <w:noProof w:val="0"/>
            <w:webHidden/>
            <w:lang w:val="en-GB"/>
          </w:rPr>
          <w:fldChar w:fldCharType="end"/>
        </w:r>
      </w:hyperlink>
    </w:p>
    <w:p w14:paraId="2F8D36E1"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44" w:history="1">
        <w:r w:rsidRPr="007A5C5F">
          <w:rPr>
            <w:rStyle w:val="Hyperlink"/>
            <w:rFonts w:eastAsia="SimSun"/>
            <w:noProof w:val="0"/>
            <w:lang w:val="en-GB"/>
          </w:rPr>
          <w:t>EXECUTIVE SUMMARY</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_Toc188348244 \h </w:instrText>
        </w:r>
        <w:r w:rsidRPr="007A5C5F">
          <w:rPr>
            <w:noProof w:val="0"/>
            <w:webHidden/>
            <w:lang w:val="en-GB"/>
          </w:rPr>
        </w:r>
        <w:r w:rsidRPr="007A5C5F">
          <w:rPr>
            <w:noProof w:val="0"/>
            <w:webHidden/>
            <w:lang w:val="en-GB"/>
          </w:rPr>
          <w:fldChar w:fldCharType="separate"/>
        </w:r>
        <w:r w:rsidRPr="007A5C5F">
          <w:rPr>
            <w:noProof w:val="0"/>
            <w:webHidden/>
            <w:lang w:val="en-GB"/>
          </w:rPr>
          <w:t>1</w:t>
        </w:r>
        <w:r w:rsidRPr="007A5C5F">
          <w:rPr>
            <w:noProof w:val="0"/>
            <w:webHidden/>
            <w:lang w:val="en-GB"/>
          </w:rPr>
          <w:fldChar w:fldCharType="end"/>
        </w:r>
      </w:hyperlink>
    </w:p>
    <w:p w14:paraId="577F271C"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45" w:history="1">
        <w:r w:rsidRPr="007A5C5F">
          <w:rPr>
            <w:rStyle w:val="Hyperlink"/>
            <w:rFonts w:eastAsia="SimSun"/>
            <w:noProof w:val="0"/>
            <w:lang w:val="en-GB"/>
          </w:rPr>
          <w:t>Description of the intervention</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_Toc188348245 \h </w:instrText>
        </w:r>
        <w:r w:rsidRPr="007A5C5F">
          <w:rPr>
            <w:noProof w:val="0"/>
            <w:webHidden/>
            <w:lang w:val="en-GB"/>
          </w:rPr>
        </w:r>
        <w:r w:rsidRPr="007A5C5F">
          <w:rPr>
            <w:noProof w:val="0"/>
            <w:webHidden/>
            <w:lang w:val="en-GB"/>
          </w:rPr>
          <w:fldChar w:fldCharType="separate"/>
        </w:r>
        <w:r w:rsidRPr="007A5C5F">
          <w:rPr>
            <w:noProof w:val="0"/>
            <w:webHidden/>
            <w:lang w:val="en-GB"/>
          </w:rPr>
          <w:t>1</w:t>
        </w:r>
        <w:r w:rsidRPr="007A5C5F">
          <w:rPr>
            <w:noProof w:val="0"/>
            <w:webHidden/>
            <w:lang w:val="en-GB"/>
          </w:rPr>
          <w:fldChar w:fldCharType="end"/>
        </w:r>
      </w:hyperlink>
    </w:p>
    <w:p w14:paraId="440C410D"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46" w:history="1">
        <w:r w:rsidRPr="007A5C5F">
          <w:rPr>
            <w:rStyle w:val="Hyperlink"/>
            <w:rFonts w:eastAsia="SimSun"/>
            <w:noProof w:val="0"/>
            <w:lang w:val="en-GB"/>
          </w:rPr>
          <w:t>Objective, Purpose, and Scope of the Mid-Term Evaluation</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_Toc188348246 \h </w:instrText>
        </w:r>
        <w:r w:rsidRPr="007A5C5F">
          <w:rPr>
            <w:noProof w:val="0"/>
            <w:webHidden/>
            <w:lang w:val="en-GB"/>
          </w:rPr>
        </w:r>
        <w:r w:rsidRPr="007A5C5F">
          <w:rPr>
            <w:noProof w:val="0"/>
            <w:webHidden/>
            <w:lang w:val="en-GB"/>
          </w:rPr>
          <w:fldChar w:fldCharType="separate"/>
        </w:r>
        <w:r w:rsidRPr="007A5C5F">
          <w:rPr>
            <w:noProof w:val="0"/>
            <w:webHidden/>
            <w:lang w:val="en-GB"/>
          </w:rPr>
          <w:t>1</w:t>
        </w:r>
        <w:r w:rsidRPr="007A5C5F">
          <w:rPr>
            <w:noProof w:val="0"/>
            <w:webHidden/>
            <w:lang w:val="en-GB"/>
          </w:rPr>
          <w:fldChar w:fldCharType="end"/>
        </w:r>
      </w:hyperlink>
    </w:p>
    <w:p w14:paraId="25286E6F"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47" w:history="1">
        <w:r w:rsidRPr="007A5C5F">
          <w:rPr>
            <w:rStyle w:val="Hyperlink"/>
            <w:rFonts w:eastAsia="SimSun"/>
            <w:noProof w:val="0"/>
            <w:lang w:val="en-GB"/>
          </w:rPr>
          <w:t>Key Findings and Conclusions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_Toc188348247 \h </w:instrText>
        </w:r>
        <w:r w:rsidRPr="007A5C5F">
          <w:rPr>
            <w:noProof w:val="0"/>
            <w:webHidden/>
            <w:lang w:val="en-GB"/>
          </w:rPr>
        </w:r>
        <w:r w:rsidRPr="007A5C5F">
          <w:rPr>
            <w:noProof w:val="0"/>
            <w:webHidden/>
            <w:lang w:val="en-GB"/>
          </w:rPr>
          <w:fldChar w:fldCharType="separate"/>
        </w:r>
        <w:r w:rsidRPr="007A5C5F">
          <w:rPr>
            <w:noProof w:val="0"/>
            <w:webHidden/>
            <w:lang w:val="en-GB"/>
          </w:rPr>
          <w:t>2</w:t>
        </w:r>
        <w:r w:rsidRPr="007A5C5F">
          <w:rPr>
            <w:noProof w:val="0"/>
            <w:webHidden/>
            <w:lang w:val="en-GB"/>
          </w:rPr>
          <w:fldChar w:fldCharType="end"/>
        </w:r>
      </w:hyperlink>
    </w:p>
    <w:p w14:paraId="1B216295"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48" w:history="1">
        <w:r w:rsidRPr="007A5C5F">
          <w:rPr>
            <w:rStyle w:val="Hyperlink"/>
            <w:rFonts w:eastAsia="SimSun"/>
            <w:noProof w:val="0"/>
            <w:lang w:val="en-GB"/>
          </w:rPr>
          <w:t>Summary of Conclusions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_Toc188348248 \h </w:instrText>
        </w:r>
        <w:r w:rsidRPr="007A5C5F">
          <w:rPr>
            <w:noProof w:val="0"/>
            <w:webHidden/>
            <w:lang w:val="en-GB"/>
          </w:rPr>
        </w:r>
        <w:r w:rsidRPr="007A5C5F">
          <w:rPr>
            <w:noProof w:val="0"/>
            <w:webHidden/>
            <w:lang w:val="en-GB"/>
          </w:rPr>
          <w:fldChar w:fldCharType="separate"/>
        </w:r>
        <w:r w:rsidRPr="007A5C5F">
          <w:rPr>
            <w:noProof w:val="0"/>
            <w:webHidden/>
            <w:lang w:val="en-GB"/>
          </w:rPr>
          <w:t>4</w:t>
        </w:r>
        <w:r w:rsidRPr="007A5C5F">
          <w:rPr>
            <w:noProof w:val="0"/>
            <w:webHidden/>
            <w:lang w:val="en-GB"/>
          </w:rPr>
          <w:fldChar w:fldCharType="end"/>
        </w:r>
      </w:hyperlink>
    </w:p>
    <w:p w14:paraId="6ACFA1D4"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49" w:history="1">
        <w:r w:rsidRPr="007A5C5F">
          <w:rPr>
            <w:rStyle w:val="Hyperlink"/>
            <w:rFonts w:eastAsia="SimSun"/>
            <w:noProof w:val="0"/>
            <w:lang w:val="en-GB"/>
          </w:rPr>
          <w:t xml:space="preserve">Recommendations (abridged </w:t>
        </w:r>
        <w:r>
          <w:rPr>
            <w:rStyle w:val="Hyperlink"/>
            <w:rFonts w:eastAsia="SimSun"/>
            <w:noProof w:val="0"/>
            <w:lang w:val="en-GB"/>
          </w:rPr>
          <w:t>version</w:t>
        </w:r>
        <w:r w:rsidRPr="007A5C5F">
          <w:rPr>
            <w:rStyle w:val="Hyperlink"/>
            <w:rFonts w:eastAsia="SimSun"/>
            <w:noProof w:val="0"/>
            <w:lang w:val="en-GB"/>
          </w:rPr>
          <w:t>)</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_Toc188348249 \h </w:instrText>
        </w:r>
        <w:r w:rsidRPr="007A5C5F">
          <w:rPr>
            <w:noProof w:val="0"/>
            <w:webHidden/>
            <w:lang w:val="en-GB"/>
          </w:rPr>
        </w:r>
        <w:r w:rsidRPr="007A5C5F">
          <w:rPr>
            <w:noProof w:val="0"/>
            <w:webHidden/>
            <w:lang w:val="en-GB"/>
          </w:rPr>
          <w:fldChar w:fldCharType="separate"/>
        </w:r>
        <w:r w:rsidRPr="007A5C5F">
          <w:rPr>
            <w:noProof w:val="0"/>
            <w:webHidden/>
            <w:lang w:val="en-GB"/>
          </w:rPr>
          <w:t>5</w:t>
        </w:r>
        <w:r w:rsidRPr="007A5C5F">
          <w:rPr>
            <w:noProof w:val="0"/>
            <w:webHidden/>
            <w:lang w:val="en-GB"/>
          </w:rPr>
          <w:fldChar w:fldCharType="end"/>
        </w:r>
      </w:hyperlink>
    </w:p>
    <w:p w14:paraId="3A802898"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50" w:history="1">
        <w:r w:rsidRPr="007A5C5F">
          <w:rPr>
            <w:rStyle w:val="Hyperlink"/>
            <w:rFonts w:eastAsia="SimSun"/>
            <w:noProof w:val="0"/>
            <w:lang w:val="en-GB"/>
          </w:rPr>
          <w:t>I. INTRODUCTION</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_Toc188348250 \h </w:instrText>
        </w:r>
        <w:r w:rsidRPr="007A5C5F">
          <w:rPr>
            <w:noProof w:val="0"/>
            <w:webHidden/>
            <w:lang w:val="en-GB"/>
          </w:rPr>
        </w:r>
        <w:r w:rsidRPr="007A5C5F">
          <w:rPr>
            <w:noProof w:val="0"/>
            <w:webHidden/>
            <w:lang w:val="en-GB"/>
          </w:rPr>
          <w:fldChar w:fldCharType="separate"/>
        </w:r>
        <w:r w:rsidRPr="007A5C5F">
          <w:rPr>
            <w:noProof w:val="0"/>
            <w:webHidden/>
            <w:lang w:val="en-GB"/>
          </w:rPr>
          <w:t>6</w:t>
        </w:r>
        <w:r w:rsidRPr="007A5C5F">
          <w:rPr>
            <w:noProof w:val="0"/>
            <w:webHidden/>
            <w:lang w:val="en-GB"/>
          </w:rPr>
          <w:fldChar w:fldCharType="end"/>
        </w:r>
      </w:hyperlink>
    </w:p>
    <w:p w14:paraId="61A21C51"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51" w:history="1">
        <w:r w:rsidRPr="007A5C5F">
          <w:rPr>
            <w:rStyle w:val="Hyperlink"/>
            <w:rFonts w:eastAsia="SimSun"/>
            <w:noProof w:val="0"/>
            <w:lang w:val="en-GB"/>
          </w:rPr>
          <w:t>Description of the intervention</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_Toc188348251 \h </w:instrText>
        </w:r>
        <w:r w:rsidRPr="007A5C5F">
          <w:rPr>
            <w:noProof w:val="0"/>
            <w:webHidden/>
            <w:lang w:val="en-GB"/>
          </w:rPr>
        </w:r>
        <w:r w:rsidRPr="007A5C5F">
          <w:rPr>
            <w:noProof w:val="0"/>
            <w:webHidden/>
            <w:lang w:val="en-GB"/>
          </w:rPr>
          <w:fldChar w:fldCharType="separate"/>
        </w:r>
        <w:r w:rsidRPr="007A5C5F">
          <w:rPr>
            <w:noProof w:val="0"/>
            <w:webHidden/>
            <w:lang w:val="en-GB"/>
          </w:rPr>
          <w:t>8</w:t>
        </w:r>
        <w:r w:rsidRPr="007A5C5F">
          <w:rPr>
            <w:noProof w:val="0"/>
            <w:webHidden/>
            <w:lang w:val="en-GB"/>
          </w:rPr>
          <w:fldChar w:fldCharType="end"/>
        </w:r>
      </w:hyperlink>
    </w:p>
    <w:p w14:paraId="23254C1C"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52" w:history="1">
        <w:r w:rsidRPr="007A5C5F">
          <w:rPr>
            <w:rStyle w:val="Hyperlink"/>
            <w:noProof w:val="0"/>
            <w:lang w:val="en-GB"/>
          </w:rPr>
          <w:t>Intervention logic of the project</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_Toc188348252 \h </w:instrText>
        </w:r>
        <w:r w:rsidRPr="007A5C5F">
          <w:rPr>
            <w:noProof w:val="0"/>
            <w:webHidden/>
            <w:lang w:val="en-GB"/>
          </w:rPr>
        </w:r>
        <w:r w:rsidRPr="007A5C5F">
          <w:rPr>
            <w:noProof w:val="0"/>
            <w:webHidden/>
            <w:lang w:val="en-GB"/>
          </w:rPr>
          <w:fldChar w:fldCharType="separate"/>
        </w:r>
        <w:r w:rsidRPr="007A5C5F">
          <w:rPr>
            <w:noProof w:val="0"/>
            <w:webHidden/>
            <w:lang w:val="en-GB"/>
          </w:rPr>
          <w:t>9</w:t>
        </w:r>
        <w:r w:rsidRPr="007A5C5F">
          <w:rPr>
            <w:noProof w:val="0"/>
            <w:webHidden/>
            <w:lang w:val="en-GB"/>
          </w:rPr>
          <w:fldChar w:fldCharType="end"/>
        </w:r>
      </w:hyperlink>
    </w:p>
    <w:p w14:paraId="68E58B3C"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53" w:history="1">
        <w:r w:rsidRPr="007A5C5F">
          <w:rPr>
            <w:rStyle w:val="Hyperlink"/>
            <w:rFonts w:eastAsia="SimSun"/>
            <w:noProof w:val="0"/>
            <w:lang w:val="en-GB"/>
          </w:rPr>
          <w:t>Evaluation scope and objectives.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_Toc188348253 \h </w:instrText>
        </w:r>
        <w:r w:rsidRPr="007A5C5F">
          <w:rPr>
            <w:noProof w:val="0"/>
            <w:webHidden/>
            <w:lang w:val="en-GB"/>
          </w:rPr>
        </w:r>
        <w:r w:rsidRPr="007A5C5F">
          <w:rPr>
            <w:noProof w:val="0"/>
            <w:webHidden/>
            <w:lang w:val="en-GB"/>
          </w:rPr>
          <w:fldChar w:fldCharType="separate"/>
        </w:r>
        <w:r w:rsidRPr="007A5C5F">
          <w:rPr>
            <w:noProof w:val="0"/>
            <w:webHidden/>
            <w:lang w:val="en-GB"/>
          </w:rPr>
          <w:t>15</w:t>
        </w:r>
        <w:r w:rsidRPr="007A5C5F">
          <w:rPr>
            <w:noProof w:val="0"/>
            <w:webHidden/>
            <w:lang w:val="en-GB"/>
          </w:rPr>
          <w:fldChar w:fldCharType="end"/>
        </w:r>
      </w:hyperlink>
    </w:p>
    <w:p w14:paraId="491B7E6C"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54" w:history="1">
        <w:r w:rsidRPr="007A5C5F">
          <w:rPr>
            <w:rStyle w:val="Hyperlink"/>
            <w:noProof w:val="0"/>
            <w:lang w:val="en-GB"/>
          </w:rPr>
          <w:t>The purpose of the evaluation</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_Toc188348254 \h </w:instrText>
        </w:r>
        <w:r w:rsidRPr="007A5C5F">
          <w:rPr>
            <w:noProof w:val="0"/>
            <w:webHidden/>
            <w:lang w:val="en-GB"/>
          </w:rPr>
        </w:r>
        <w:r w:rsidRPr="007A5C5F">
          <w:rPr>
            <w:noProof w:val="0"/>
            <w:webHidden/>
            <w:lang w:val="en-GB"/>
          </w:rPr>
          <w:fldChar w:fldCharType="separate"/>
        </w:r>
        <w:r w:rsidRPr="007A5C5F">
          <w:rPr>
            <w:noProof w:val="0"/>
            <w:webHidden/>
            <w:lang w:val="en-GB"/>
          </w:rPr>
          <w:t>15</w:t>
        </w:r>
        <w:r w:rsidRPr="007A5C5F">
          <w:rPr>
            <w:noProof w:val="0"/>
            <w:webHidden/>
            <w:lang w:val="en-GB"/>
          </w:rPr>
          <w:fldChar w:fldCharType="end"/>
        </w:r>
      </w:hyperlink>
    </w:p>
    <w:p w14:paraId="3ECDD837"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55" w:history="1">
        <w:r w:rsidRPr="007A5C5F">
          <w:rPr>
            <w:rStyle w:val="Hyperlink"/>
            <w:noProof w:val="0"/>
            <w:lang w:val="en-GB"/>
          </w:rPr>
          <w:t>Evaluation criteria and questions.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_Toc188348255 \h </w:instrText>
        </w:r>
        <w:r w:rsidRPr="007A5C5F">
          <w:rPr>
            <w:noProof w:val="0"/>
            <w:webHidden/>
            <w:lang w:val="en-GB"/>
          </w:rPr>
        </w:r>
        <w:r w:rsidRPr="007A5C5F">
          <w:rPr>
            <w:noProof w:val="0"/>
            <w:webHidden/>
            <w:lang w:val="en-GB"/>
          </w:rPr>
          <w:fldChar w:fldCharType="separate"/>
        </w:r>
        <w:r w:rsidRPr="007A5C5F">
          <w:rPr>
            <w:noProof w:val="0"/>
            <w:webHidden/>
            <w:lang w:val="en-GB"/>
          </w:rPr>
          <w:t>16</w:t>
        </w:r>
        <w:r w:rsidRPr="007A5C5F">
          <w:rPr>
            <w:noProof w:val="0"/>
            <w:webHidden/>
            <w:lang w:val="en-GB"/>
          </w:rPr>
          <w:fldChar w:fldCharType="end"/>
        </w:r>
      </w:hyperlink>
    </w:p>
    <w:p w14:paraId="79EC8DCB"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56" w:history="1">
        <w:r w:rsidRPr="007A5C5F">
          <w:rPr>
            <w:rStyle w:val="Hyperlink"/>
            <w:rFonts w:eastAsia="SimSun"/>
            <w:noProof w:val="0"/>
            <w:lang w:val="en-GB"/>
          </w:rPr>
          <w:t>Evaluation approach and methods.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_Toc188348256 \h </w:instrText>
        </w:r>
        <w:r w:rsidRPr="007A5C5F">
          <w:rPr>
            <w:noProof w:val="0"/>
            <w:webHidden/>
            <w:lang w:val="en-GB"/>
          </w:rPr>
        </w:r>
        <w:r w:rsidRPr="007A5C5F">
          <w:rPr>
            <w:noProof w:val="0"/>
            <w:webHidden/>
            <w:lang w:val="en-GB"/>
          </w:rPr>
          <w:fldChar w:fldCharType="separate"/>
        </w:r>
        <w:r w:rsidRPr="007A5C5F">
          <w:rPr>
            <w:noProof w:val="0"/>
            <w:webHidden/>
            <w:lang w:val="en-GB"/>
          </w:rPr>
          <w:t>18</w:t>
        </w:r>
        <w:r w:rsidRPr="007A5C5F">
          <w:rPr>
            <w:noProof w:val="0"/>
            <w:webHidden/>
            <w:lang w:val="en-GB"/>
          </w:rPr>
          <w:fldChar w:fldCharType="end"/>
        </w:r>
      </w:hyperlink>
    </w:p>
    <w:p w14:paraId="0308A075"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57" w:history="1">
        <w:r w:rsidRPr="007A5C5F">
          <w:rPr>
            <w:rStyle w:val="Hyperlink"/>
            <w:rFonts w:eastAsia="SimSun"/>
            <w:noProof w:val="0"/>
            <w:lang w:val="en-GB"/>
          </w:rPr>
          <w:t>II.  EVALUATION FINDINGS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_Toc188348257 \h </w:instrText>
        </w:r>
        <w:r w:rsidRPr="007A5C5F">
          <w:rPr>
            <w:noProof w:val="0"/>
            <w:webHidden/>
            <w:lang w:val="en-GB"/>
          </w:rPr>
        </w:r>
        <w:r w:rsidRPr="007A5C5F">
          <w:rPr>
            <w:noProof w:val="0"/>
            <w:webHidden/>
            <w:lang w:val="en-GB"/>
          </w:rPr>
          <w:fldChar w:fldCharType="separate"/>
        </w:r>
        <w:r w:rsidRPr="007A5C5F">
          <w:rPr>
            <w:noProof w:val="0"/>
            <w:webHidden/>
            <w:lang w:val="en-GB"/>
          </w:rPr>
          <w:t>25</w:t>
        </w:r>
        <w:r w:rsidRPr="007A5C5F">
          <w:rPr>
            <w:noProof w:val="0"/>
            <w:webHidden/>
            <w:lang w:val="en-GB"/>
          </w:rPr>
          <w:fldChar w:fldCharType="end"/>
        </w:r>
      </w:hyperlink>
    </w:p>
    <w:p w14:paraId="7D0057C8"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58" w:history="1">
        <w:r w:rsidRPr="007A5C5F">
          <w:rPr>
            <w:rStyle w:val="Hyperlink"/>
            <w:rFonts w:eastAsia="SimSun"/>
            <w:noProof w:val="0"/>
            <w:lang w:val="en-GB"/>
          </w:rPr>
          <w:t>RELEVANCE</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_Toc188348258 \h </w:instrText>
        </w:r>
        <w:r w:rsidRPr="007A5C5F">
          <w:rPr>
            <w:noProof w:val="0"/>
            <w:webHidden/>
            <w:lang w:val="en-GB"/>
          </w:rPr>
        </w:r>
        <w:r w:rsidRPr="007A5C5F">
          <w:rPr>
            <w:noProof w:val="0"/>
            <w:webHidden/>
            <w:lang w:val="en-GB"/>
          </w:rPr>
          <w:fldChar w:fldCharType="separate"/>
        </w:r>
        <w:r w:rsidRPr="007A5C5F">
          <w:rPr>
            <w:noProof w:val="0"/>
            <w:webHidden/>
            <w:lang w:val="en-GB"/>
          </w:rPr>
          <w:t>25</w:t>
        </w:r>
        <w:r w:rsidRPr="007A5C5F">
          <w:rPr>
            <w:noProof w:val="0"/>
            <w:webHidden/>
            <w:lang w:val="en-GB"/>
          </w:rPr>
          <w:fldChar w:fldCharType="end"/>
        </w:r>
      </w:hyperlink>
    </w:p>
    <w:p w14:paraId="1134851A"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59" w:history="1">
        <w:r>
          <w:rPr>
            <w:rStyle w:val="Hyperlink"/>
            <w:rFonts w:eastAsia="SimSun"/>
            <w:noProof w:val="0"/>
            <w:lang w:val="en-GB"/>
          </w:rPr>
          <w:t>Coherence</w:t>
        </w:r>
        <w:r w:rsidRPr="007A5C5F">
          <w:rPr>
            <w:rStyle w:val="Hyperlink"/>
            <w:rFonts w:eastAsia="SimSun"/>
            <w:noProof w:val="0"/>
            <w:lang w:val="en-GB"/>
          </w:rPr>
          <w:t>:</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_Toc188348259 \h </w:instrText>
        </w:r>
        <w:r w:rsidRPr="007A5C5F">
          <w:rPr>
            <w:noProof w:val="0"/>
            <w:webHidden/>
            <w:lang w:val="en-GB"/>
          </w:rPr>
        </w:r>
        <w:r w:rsidRPr="007A5C5F">
          <w:rPr>
            <w:noProof w:val="0"/>
            <w:webHidden/>
            <w:lang w:val="en-GB"/>
          </w:rPr>
          <w:fldChar w:fldCharType="separate"/>
        </w:r>
        <w:r w:rsidRPr="007A5C5F">
          <w:rPr>
            <w:noProof w:val="0"/>
            <w:webHidden/>
            <w:lang w:val="en-GB"/>
          </w:rPr>
          <w:t>30</w:t>
        </w:r>
        <w:r w:rsidRPr="007A5C5F">
          <w:rPr>
            <w:noProof w:val="0"/>
            <w:webHidden/>
            <w:lang w:val="en-GB"/>
          </w:rPr>
          <w:fldChar w:fldCharType="end"/>
        </w:r>
      </w:hyperlink>
    </w:p>
    <w:p w14:paraId="26E30127"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60" w:history="1">
        <w:r w:rsidRPr="007A5C5F">
          <w:rPr>
            <w:rStyle w:val="Hyperlink"/>
            <w:rFonts w:eastAsia="SimSun"/>
            <w:noProof w:val="0"/>
            <w:lang w:val="en-GB"/>
          </w:rPr>
          <w:t>EFFICIENCY</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_Toc188348260 \h </w:instrText>
        </w:r>
        <w:r w:rsidRPr="007A5C5F">
          <w:rPr>
            <w:noProof w:val="0"/>
            <w:webHidden/>
            <w:lang w:val="en-GB"/>
          </w:rPr>
        </w:r>
        <w:r w:rsidRPr="007A5C5F">
          <w:rPr>
            <w:noProof w:val="0"/>
            <w:webHidden/>
            <w:lang w:val="en-GB"/>
          </w:rPr>
          <w:fldChar w:fldCharType="separate"/>
        </w:r>
        <w:r w:rsidRPr="007A5C5F">
          <w:rPr>
            <w:noProof w:val="0"/>
            <w:webHidden/>
            <w:lang w:val="en-GB"/>
          </w:rPr>
          <w:t>32</w:t>
        </w:r>
        <w:r w:rsidRPr="007A5C5F">
          <w:rPr>
            <w:noProof w:val="0"/>
            <w:webHidden/>
            <w:lang w:val="en-GB"/>
          </w:rPr>
          <w:fldChar w:fldCharType="end"/>
        </w:r>
      </w:hyperlink>
    </w:p>
    <w:p w14:paraId="6DAFEC50"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61" w:history="1">
        <w:r w:rsidRPr="007A5C5F">
          <w:rPr>
            <w:rStyle w:val="Hyperlink"/>
            <w:rFonts w:eastAsia="SimSun"/>
            <w:noProof w:val="0"/>
            <w:lang w:val="en-GB"/>
          </w:rPr>
          <w:t>EFFECTIVENESS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_Toc188348261 \h </w:instrText>
        </w:r>
        <w:r w:rsidRPr="007A5C5F">
          <w:rPr>
            <w:noProof w:val="0"/>
            <w:webHidden/>
            <w:lang w:val="en-GB"/>
          </w:rPr>
        </w:r>
        <w:r w:rsidRPr="007A5C5F">
          <w:rPr>
            <w:noProof w:val="0"/>
            <w:webHidden/>
            <w:lang w:val="en-GB"/>
          </w:rPr>
          <w:fldChar w:fldCharType="separate"/>
        </w:r>
        <w:r w:rsidRPr="007A5C5F">
          <w:rPr>
            <w:noProof w:val="0"/>
            <w:webHidden/>
            <w:lang w:val="en-GB"/>
          </w:rPr>
          <w:t>37</w:t>
        </w:r>
        <w:r w:rsidRPr="007A5C5F">
          <w:rPr>
            <w:noProof w:val="0"/>
            <w:webHidden/>
            <w:lang w:val="en-GB"/>
          </w:rPr>
          <w:fldChar w:fldCharType="end"/>
        </w:r>
      </w:hyperlink>
    </w:p>
    <w:p w14:paraId="1109AD48"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62" w:history="1">
        <w:r w:rsidRPr="007A5C5F">
          <w:rPr>
            <w:rStyle w:val="Hyperlink"/>
            <w:rFonts w:eastAsia="SimSun"/>
            <w:noProof w:val="0"/>
            <w:lang w:val="en-GB"/>
          </w:rPr>
          <w:t>Progress Towards Impact</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_Toc188348262 \h </w:instrText>
        </w:r>
        <w:r w:rsidRPr="007A5C5F">
          <w:rPr>
            <w:noProof w:val="0"/>
            <w:webHidden/>
            <w:lang w:val="en-GB"/>
          </w:rPr>
        </w:r>
        <w:r w:rsidRPr="007A5C5F">
          <w:rPr>
            <w:noProof w:val="0"/>
            <w:webHidden/>
            <w:lang w:val="en-GB"/>
          </w:rPr>
          <w:fldChar w:fldCharType="separate"/>
        </w:r>
        <w:r w:rsidRPr="007A5C5F">
          <w:rPr>
            <w:noProof w:val="0"/>
            <w:webHidden/>
            <w:lang w:val="en-GB"/>
          </w:rPr>
          <w:t>38</w:t>
        </w:r>
        <w:r w:rsidRPr="007A5C5F">
          <w:rPr>
            <w:noProof w:val="0"/>
            <w:webHidden/>
            <w:lang w:val="en-GB"/>
          </w:rPr>
          <w:fldChar w:fldCharType="end"/>
        </w:r>
      </w:hyperlink>
    </w:p>
    <w:p w14:paraId="3B494C25"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63" w:history="1">
        <w:r w:rsidRPr="007A5C5F">
          <w:rPr>
            <w:rStyle w:val="Hyperlink"/>
            <w:rFonts w:eastAsia="SimSun"/>
            <w:noProof w:val="0"/>
            <w:lang w:val="en-GB"/>
          </w:rPr>
          <w:t>SUSTAINABILITY</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_Toc188348263 \h </w:instrText>
        </w:r>
        <w:r w:rsidRPr="007A5C5F">
          <w:rPr>
            <w:noProof w:val="0"/>
            <w:webHidden/>
            <w:lang w:val="en-GB"/>
          </w:rPr>
        </w:r>
        <w:r w:rsidRPr="007A5C5F">
          <w:rPr>
            <w:noProof w:val="0"/>
            <w:webHidden/>
            <w:lang w:val="en-GB"/>
          </w:rPr>
          <w:fldChar w:fldCharType="separate"/>
        </w:r>
        <w:r w:rsidRPr="007A5C5F">
          <w:rPr>
            <w:noProof w:val="0"/>
            <w:webHidden/>
            <w:lang w:val="en-GB"/>
          </w:rPr>
          <w:t>40</w:t>
        </w:r>
        <w:r w:rsidRPr="007A5C5F">
          <w:rPr>
            <w:noProof w:val="0"/>
            <w:webHidden/>
            <w:lang w:val="en-GB"/>
          </w:rPr>
          <w:fldChar w:fldCharType="end"/>
        </w:r>
      </w:hyperlink>
    </w:p>
    <w:p w14:paraId="05FAE8A2"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64" w:history="1">
        <w:r w:rsidRPr="007A5C5F">
          <w:rPr>
            <w:rStyle w:val="Hyperlink"/>
            <w:rFonts w:eastAsia="SimSun"/>
            <w:noProof w:val="0"/>
            <w:lang w:val="en-GB"/>
          </w:rPr>
          <w:t>HUMAN RIGHTS, GENDER EQUALITY, DISABILITY INCLUSION AND LEAVING NO ONE BEHIND</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_Toc188348264 \h </w:instrText>
        </w:r>
        <w:r w:rsidRPr="007A5C5F">
          <w:rPr>
            <w:noProof w:val="0"/>
            <w:webHidden/>
            <w:lang w:val="en-GB"/>
          </w:rPr>
        </w:r>
        <w:r w:rsidRPr="007A5C5F">
          <w:rPr>
            <w:noProof w:val="0"/>
            <w:webHidden/>
            <w:lang w:val="en-GB"/>
          </w:rPr>
          <w:fldChar w:fldCharType="separate"/>
        </w:r>
        <w:r w:rsidRPr="007A5C5F">
          <w:rPr>
            <w:noProof w:val="0"/>
            <w:webHidden/>
            <w:lang w:val="en-GB"/>
          </w:rPr>
          <w:t>41</w:t>
        </w:r>
        <w:r w:rsidRPr="007A5C5F">
          <w:rPr>
            <w:noProof w:val="0"/>
            <w:webHidden/>
            <w:lang w:val="en-GB"/>
          </w:rPr>
          <w:fldChar w:fldCharType="end"/>
        </w:r>
      </w:hyperlink>
    </w:p>
    <w:p w14:paraId="05BB4361" w14:textId="77777777" w:rsidR="00EA79BF" w:rsidRPr="007A5C5F" w:rsidRDefault="00EA79BF" w:rsidP="00EA79BF">
      <w:pPr>
        <w:pStyle w:val="TOC2"/>
        <w:rPr>
          <w:rFonts w:asciiTheme="minorHAnsi" w:eastAsiaTheme="minorEastAsia" w:hAnsiTheme="minorHAnsi" w:cstheme="minorBidi"/>
          <w:caps w:val="0"/>
          <w:noProof w:val="0"/>
          <w:kern w:val="2"/>
          <w:lang w:val="en-GB"/>
          <w14:ligatures w14:val="standardContextual"/>
        </w:rPr>
      </w:pPr>
      <w:hyperlink w:anchor="_Toc188348265" w:history="1">
        <w:r w:rsidRPr="007A5C5F">
          <w:rPr>
            <w:rStyle w:val="Hyperlink"/>
            <w:rFonts w:eastAsia="SimSun"/>
            <w:noProof w:val="0"/>
            <w:lang w:val="en-GB"/>
          </w:rPr>
          <w:t>EU Added Value</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_Toc188348265 \h </w:instrText>
        </w:r>
        <w:r w:rsidRPr="007A5C5F">
          <w:rPr>
            <w:noProof w:val="0"/>
            <w:webHidden/>
            <w:lang w:val="en-GB"/>
          </w:rPr>
        </w:r>
        <w:r w:rsidRPr="007A5C5F">
          <w:rPr>
            <w:noProof w:val="0"/>
            <w:webHidden/>
            <w:lang w:val="en-GB"/>
          </w:rPr>
          <w:fldChar w:fldCharType="separate"/>
        </w:r>
        <w:r w:rsidRPr="007A5C5F">
          <w:rPr>
            <w:noProof w:val="0"/>
            <w:webHidden/>
            <w:lang w:val="en-GB"/>
          </w:rPr>
          <w:t>44</w:t>
        </w:r>
        <w:r w:rsidRPr="007A5C5F">
          <w:rPr>
            <w:noProof w:val="0"/>
            <w:webHidden/>
            <w:lang w:val="en-GB"/>
          </w:rPr>
          <w:fldChar w:fldCharType="end"/>
        </w:r>
      </w:hyperlink>
    </w:p>
    <w:p w14:paraId="7C14A060"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66" w:history="1">
        <w:r w:rsidRPr="007A5C5F">
          <w:rPr>
            <w:rStyle w:val="Hyperlink"/>
            <w:rFonts w:eastAsia="SimSun"/>
            <w:noProof w:val="0"/>
            <w:lang w:val="en-GB"/>
          </w:rPr>
          <w:t>List of Findings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_Toc188348266 \h </w:instrText>
        </w:r>
        <w:r w:rsidRPr="007A5C5F">
          <w:rPr>
            <w:noProof w:val="0"/>
            <w:webHidden/>
            <w:lang w:val="en-GB"/>
          </w:rPr>
        </w:r>
        <w:r w:rsidRPr="007A5C5F">
          <w:rPr>
            <w:noProof w:val="0"/>
            <w:webHidden/>
            <w:lang w:val="en-GB"/>
          </w:rPr>
          <w:fldChar w:fldCharType="separate"/>
        </w:r>
        <w:r w:rsidRPr="007A5C5F">
          <w:rPr>
            <w:noProof w:val="0"/>
            <w:webHidden/>
            <w:lang w:val="en-GB"/>
          </w:rPr>
          <w:t>48</w:t>
        </w:r>
        <w:r w:rsidRPr="007A5C5F">
          <w:rPr>
            <w:noProof w:val="0"/>
            <w:webHidden/>
            <w:lang w:val="en-GB"/>
          </w:rPr>
          <w:fldChar w:fldCharType="end"/>
        </w:r>
      </w:hyperlink>
    </w:p>
    <w:p w14:paraId="3E596F4C"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67" w:history="1">
        <w:r w:rsidRPr="007A5C5F">
          <w:rPr>
            <w:rStyle w:val="Hyperlink"/>
            <w:rFonts w:eastAsia="SimSun"/>
            <w:noProof w:val="0"/>
            <w:lang w:val="en-GB"/>
          </w:rPr>
          <w:t>III. CONCLUSIONS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_Toc188348267 \h </w:instrText>
        </w:r>
        <w:r w:rsidRPr="007A5C5F">
          <w:rPr>
            <w:noProof w:val="0"/>
            <w:webHidden/>
            <w:lang w:val="en-GB"/>
          </w:rPr>
        </w:r>
        <w:r w:rsidRPr="007A5C5F">
          <w:rPr>
            <w:noProof w:val="0"/>
            <w:webHidden/>
            <w:lang w:val="en-GB"/>
          </w:rPr>
          <w:fldChar w:fldCharType="separate"/>
        </w:r>
        <w:r w:rsidRPr="007A5C5F">
          <w:rPr>
            <w:noProof w:val="0"/>
            <w:webHidden/>
            <w:lang w:val="en-GB"/>
          </w:rPr>
          <w:t>51</w:t>
        </w:r>
        <w:r w:rsidRPr="007A5C5F">
          <w:rPr>
            <w:noProof w:val="0"/>
            <w:webHidden/>
            <w:lang w:val="en-GB"/>
          </w:rPr>
          <w:fldChar w:fldCharType="end"/>
        </w:r>
      </w:hyperlink>
    </w:p>
    <w:p w14:paraId="080F8A28"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68" w:history="1">
        <w:r w:rsidRPr="007A5C5F">
          <w:rPr>
            <w:rStyle w:val="Hyperlink"/>
            <w:rFonts w:eastAsia="SimSun"/>
            <w:noProof w:val="0"/>
            <w:lang w:val="en-GB"/>
          </w:rPr>
          <w:t>IV. RECOMMENDATIONS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_Toc188348268 \h </w:instrText>
        </w:r>
        <w:r w:rsidRPr="007A5C5F">
          <w:rPr>
            <w:noProof w:val="0"/>
            <w:webHidden/>
            <w:lang w:val="en-GB"/>
          </w:rPr>
        </w:r>
        <w:r w:rsidRPr="007A5C5F">
          <w:rPr>
            <w:noProof w:val="0"/>
            <w:webHidden/>
            <w:lang w:val="en-GB"/>
          </w:rPr>
          <w:fldChar w:fldCharType="separate"/>
        </w:r>
        <w:r w:rsidRPr="007A5C5F">
          <w:rPr>
            <w:noProof w:val="0"/>
            <w:webHidden/>
            <w:lang w:val="en-GB"/>
          </w:rPr>
          <w:t>57</w:t>
        </w:r>
        <w:r w:rsidRPr="007A5C5F">
          <w:rPr>
            <w:noProof w:val="0"/>
            <w:webHidden/>
            <w:lang w:val="en-GB"/>
          </w:rPr>
          <w:fldChar w:fldCharType="end"/>
        </w:r>
      </w:hyperlink>
    </w:p>
    <w:p w14:paraId="5733E850" w14:textId="77777777" w:rsidR="00EA79BF" w:rsidRPr="007A5C5F" w:rsidRDefault="00EA79BF" w:rsidP="00EA79BF">
      <w:pPr>
        <w:pStyle w:val="TOC1"/>
        <w:rPr>
          <w:rFonts w:asciiTheme="minorHAnsi" w:eastAsiaTheme="minorEastAsia" w:hAnsiTheme="minorHAnsi" w:cstheme="minorBidi"/>
          <w:caps w:val="0"/>
          <w:noProof w:val="0"/>
          <w:kern w:val="2"/>
          <w:lang w:val="en-GB"/>
          <w14:ligatures w14:val="standardContextual"/>
        </w:rPr>
      </w:pPr>
      <w:hyperlink w:anchor="_Toc188348269" w:history="1">
        <w:r w:rsidRPr="007A5C5F">
          <w:rPr>
            <w:rStyle w:val="Hyperlink"/>
            <w:rFonts w:eastAsia="SimSun"/>
            <w:noProof w:val="0"/>
            <w:lang w:val="en-GB"/>
          </w:rPr>
          <w:t>V. LESSONS LEARNED AND GOOD PRACTICES</w:t>
        </w:r>
        <w:r w:rsidRPr="007A5C5F">
          <w:rPr>
            <w:noProof w:val="0"/>
            <w:webHidden/>
            <w:lang w:val="en-GB"/>
          </w:rPr>
          <w:tab/>
        </w:r>
        <w:r w:rsidRPr="007A5C5F">
          <w:rPr>
            <w:noProof w:val="0"/>
            <w:webHidden/>
            <w:lang w:val="en-GB"/>
          </w:rPr>
          <w:fldChar w:fldCharType="begin"/>
        </w:r>
        <w:r w:rsidRPr="007A5C5F">
          <w:rPr>
            <w:noProof w:val="0"/>
            <w:webHidden/>
            <w:lang w:val="en-GB"/>
          </w:rPr>
          <w:instrText xml:space="preserve"> PAGEREF _Toc188348269 \h </w:instrText>
        </w:r>
        <w:r w:rsidRPr="007A5C5F">
          <w:rPr>
            <w:noProof w:val="0"/>
            <w:webHidden/>
            <w:lang w:val="en-GB"/>
          </w:rPr>
        </w:r>
        <w:r w:rsidRPr="007A5C5F">
          <w:rPr>
            <w:noProof w:val="0"/>
            <w:webHidden/>
            <w:lang w:val="en-GB"/>
          </w:rPr>
          <w:fldChar w:fldCharType="separate"/>
        </w:r>
        <w:r w:rsidRPr="007A5C5F">
          <w:rPr>
            <w:noProof w:val="0"/>
            <w:webHidden/>
            <w:lang w:val="en-GB"/>
          </w:rPr>
          <w:t>62</w:t>
        </w:r>
        <w:r w:rsidRPr="007A5C5F">
          <w:rPr>
            <w:noProof w:val="0"/>
            <w:webHidden/>
            <w:lang w:val="en-GB"/>
          </w:rPr>
          <w:fldChar w:fldCharType="end"/>
        </w:r>
      </w:hyperlink>
    </w:p>
    <w:p w14:paraId="7D641F59" w14:textId="77777777" w:rsidR="00EA79BF" w:rsidRPr="007A5C5F" w:rsidRDefault="00EA79BF" w:rsidP="00EA79BF">
      <w:pPr>
        <w:rPr>
          <w:lang w:val="en-GB"/>
        </w:rPr>
      </w:pPr>
      <w:r w:rsidRPr="007A5C5F">
        <w:rPr>
          <w:lang w:val="en-GB"/>
        </w:rPr>
        <w:fldChar w:fldCharType="end"/>
      </w:r>
    </w:p>
    <w:p w14:paraId="051394D1" w14:textId="77777777" w:rsidR="00EA79BF" w:rsidRPr="007A5C5F" w:rsidRDefault="00EA79BF" w:rsidP="00EA79BF">
      <w:pPr>
        <w:rPr>
          <w:lang w:val="en-GB"/>
        </w:rPr>
      </w:pPr>
    </w:p>
    <w:p w14:paraId="5B40D696" w14:textId="77777777" w:rsidR="00EA79BF" w:rsidRPr="007A5C5F" w:rsidRDefault="00EA79BF" w:rsidP="00EA79BF">
      <w:pPr>
        <w:rPr>
          <w:lang w:val="en-GB"/>
        </w:rPr>
      </w:pPr>
    </w:p>
    <w:p w14:paraId="61752F54" w14:textId="77777777" w:rsidR="00EA79BF" w:rsidRPr="007A5C5F" w:rsidRDefault="00EA79BF" w:rsidP="00EA79BF">
      <w:pPr>
        <w:rPr>
          <w:lang w:val="en-GB"/>
        </w:rPr>
        <w:sectPr w:rsidR="00EA79BF" w:rsidRPr="007A5C5F" w:rsidSect="00EA79BF">
          <w:footerReference w:type="default" r:id="rId21"/>
          <w:footerReference w:type="first" r:id="rId22"/>
          <w:pgSz w:w="11894" w:h="16834"/>
          <w:pgMar w:top="1440" w:right="1152" w:bottom="1152" w:left="1152" w:header="706" w:footer="706" w:gutter="0"/>
          <w:pgNumType w:fmt="lowerRoman"/>
          <w:cols w:space="708"/>
          <w:titlePg/>
          <w:docGrid w:linePitch="360"/>
        </w:sectPr>
      </w:pPr>
      <w:r w:rsidRPr="007A5C5F">
        <w:rPr>
          <w:noProof/>
          <w:lang w:val="en-GB"/>
        </w:rPr>
        <w:lastRenderedPageBreak/>
        <w:drawing>
          <wp:inline distT="0" distB="0" distL="0" distR="0" wp14:anchorId="5E663900" wp14:editId="12A5AB51">
            <wp:extent cx="6089650" cy="7880985"/>
            <wp:effectExtent l="0" t="0" r="0" b="0"/>
            <wp:docPr id="196848893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488937" name="Picture 1968488937"/>
                    <pic:cNvPicPr/>
                  </pic:nvPicPr>
                  <pic:blipFill>
                    <a:blip r:embed="rId23"/>
                    <a:stretch>
                      <a:fillRect/>
                    </a:stretch>
                  </pic:blipFill>
                  <pic:spPr>
                    <a:xfrm>
                      <a:off x="0" y="0"/>
                      <a:ext cx="6089650" cy="7880985"/>
                    </a:xfrm>
                    <a:prstGeom prst="rect">
                      <a:avLst/>
                    </a:prstGeom>
                  </pic:spPr>
                </pic:pic>
              </a:graphicData>
            </a:graphic>
          </wp:inline>
        </w:drawing>
      </w:r>
    </w:p>
    <w:p w14:paraId="67A58680" w14:textId="77777777" w:rsidR="00EA79BF" w:rsidRPr="007A5C5F" w:rsidRDefault="00EA79BF" w:rsidP="00EA79BF">
      <w:pPr>
        <w:pStyle w:val="Heading1"/>
        <w:jc w:val="center"/>
        <w:rPr>
          <w:rFonts w:ascii="Times New Roman" w:hAnsi="Times New Roman" w:cs="Times New Roman"/>
          <w:lang w:val="en-GB"/>
        </w:rPr>
      </w:pPr>
      <w:bookmarkStart w:id="1" w:name="_Toc188348243"/>
      <w:r w:rsidRPr="007A5C5F">
        <w:rPr>
          <w:rFonts w:ascii="Times New Roman" w:hAnsi="Times New Roman" w:cs="Times New Roman"/>
          <w:lang w:val="en-GB"/>
        </w:rPr>
        <w:lastRenderedPageBreak/>
        <w:t>ABBREVIATIONS AND ACRONYMS</w:t>
      </w:r>
      <w:bookmarkEnd w:id="1"/>
    </w:p>
    <w:p w14:paraId="033A3D05" w14:textId="77777777" w:rsidR="005D2C5B" w:rsidRDefault="00EA79BF" w:rsidP="00DE51FE">
      <w:pPr>
        <w:spacing w:line="276" w:lineRule="auto"/>
        <w:rPr>
          <w:sz w:val="22"/>
          <w:szCs w:val="22"/>
          <w:lang w:val="en-GB"/>
        </w:rPr>
      </w:pPr>
      <w:r w:rsidRPr="007A5C5F">
        <w:rPr>
          <w:sz w:val="22"/>
          <w:szCs w:val="22"/>
          <w:lang w:val="en-GB"/>
        </w:rPr>
        <w:t>ADR – Alternative Dispute Resolution</w:t>
      </w:r>
      <w:r w:rsidRPr="007A5C5F">
        <w:rPr>
          <w:sz w:val="22"/>
          <w:szCs w:val="22"/>
          <w:lang w:val="en-GB"/>
        </w:rPr>
        <w:br/>
        <w:t>AG – Attorney General</w:t>
      </w:r>
      <w:r w:rsidRPr="007A5C5F">
        <w:rPr>
          <w:sz w:val="22"/>
          <w:szCs w:val="22"/>
          <w:lang w:val="en-GB"/>
        </w:rPr>
        <w:br/>
        <w:t>AGD – Attorney General’s Department</w:t>
      </w:r>
      <w:r w:rsidRPr="007A5C5F">
        <w:rPr>
          <w:sz w:val="22"/>
          <w:szCs w:val="22"/>
          <w:lang w:val="en-GB"/>
        </w:rPr>
        <w:br/>
        <w:t>CIABOC – Commission to Investigate Allegations of Bribery or Corruption</w:t>
      </w:r>
    </w:p>
    <w:p w14:paraId="43398C38" w14:textId="26C1CAEA" w:rsidR="00EC302A" w:rsidRDefault="005D2C5B" w:rsidP="00DE51FE">
      <w:pPr>
        <w:spacing w:line="276" w:lineRule="auto"/>
        <w:rPr>
          <w:sz w:val="22"/>
          <w:szCs w:val="22"/>
          <w:lang w:val="en-GB"/>
        </w:rPr>
      </w:pPr>
      <w:r>
        <w:rPr>
          <w:sz w:val="22"/>
          <w:szCs w:val="22"/>
          <w:lang w:val="en-GB"/>
        </w:rPr>
        <w:t xml:space="preserve">CEPEJ - </w:t>
      </w:r>
      <w:r w:rsidRPr="005D2C5B">
        <w:rPr>
          <w:sz w:val="22"/>
          <w:szCs w:val="22"/>
          <w:lang w:val="en-GB"/>
        </w:rPr>
        <w:t>European Commission for the Efficiency of Justice (CEPEJ) is a body established by the Council of Europe (CoE)</w:t>
      </w:r>
      <w:r w:rsidR="00EA79BF" w:rsidRPr="005D2C5B">
        <w:rPr>
          <w:sz w:val="22"/>
          <w:szCs w:val="22"/>
          <w:lang w:val="en-GB"/>
        </w:rPr>
        <w:br/>
      </w:r>
      <w:r w:rsidR="00EA79BF" w:rsidRPr="007A5C5F">
        <w:rPr>
          <w:sz w:val="22"/>
          <w:szCs w:val="22"/>
          <w:lang w:val="en-GB"/>
        </w:rPr>
        <w:t>CSO – Civil Society Organization</w:t>
      </w:r>
      <w:r w:rsidR="00EA79BF" w:rsidRPr="007A5C5F">
        <w:rPr>
          <w:sz w:val="22"/>
          <w:szCs w:val="22"/>
          <w:lang w:val="en-GB"/>
        </w:rPr>
        <w:br/>
        <w:t>FGD – Focus Group Discussion</w:t>
      </w:r>
      <w:r w:rsidR="00EA79BF" w:rsidRPr="007A5C5F">
        <w:rPr>
          <w:sz w:val="22"/>
          <w:szCs w:val="22"/>
          <w:lang w:val="en-GB"/>
        </w:rPr>
        <w:br/>
        <w:t>GAD – Government Analyst’s Department</w:t>
      </w:r>
      <w:r w:rsidR="00EA79BF" w:rsidRPr="007A5C5F">
        <w:rPr>
          <w:sz w:val="22"/>
          <w:szCs w:val="22"/>
          <w:lang w:val="en-GB"/>
        </w:rPr>
        <w:br/>
        <w:t>GBV – Gender-Based Violence</w:t>
      </w:r>
      <w:r w:rsidR="00EA79BF" w:rsidRPr="007A5C5F">
        <w:rPr>
          <w:sz w:val="22"/>
          <w:szCs w:val="22"/>
          <w:lang w:val="en-GB"/>
        </w:rPr>
        <w:br/>
        <w:t>HRC – Human Rights Commission</w:t>
      </w:r>
      <w:r w:rsidR="00EA79BF" w:rsidRPr="007A5C5F">
        <w:rPr>
          <w:sz w:val="22"/>
          <w:szCs w:val="22"/>
          <w:lang w:val="en-GB"/>
        </w:rPr>
        <w:br/>
        <w:t>HRBA – Human Rights-Based Approach</w:t>
      </w:r>
      <w:r w:rsidR="00EA79BF" w:rsidRPr="007A5C5F">
        <w:rPr>
          <w:sz w:val="22"/>
          <w:szCs w:val="22"/>
          <w:lang w:val="en-GB"/>
        </w:rPr>
        <w:br/>
        <w:t>ICTA – Information and Communication Technology Agency</w:t>
      </w:r>
      <w:r w:rsidR="00EA79BF" w:rsidRPr="007A5C5F">
        <w:rPr>
          <w:sz w:val="22"/>
          <w:szCs w:val="22"/>
          <w:lang w:val="en-GB"/>
        </w:rPr>
        <w:br/>
        <w:t>JICA – Japanese International Cooperation Agency</w:t>
      </w:r>
      <w:r w:rsidR="00EA79BF" w:rsidRPr="007A5C5F">
        <w:rPr>
          <w:sz w:val="22"/>
          <w:szCs w:val="22"/>
          <w:lang w:val="en-GB"/>
        </w:rPr>
        <w:br/>
        <w:t>JSC – Judicial Service Commission</w:t>
      </w:r>
      <w:r w:rsidR="00EA79BF" w:rsidRPr="007A5C5F">
        <w:rPr>
          <w:sz w:val="22"/>
          <w:szCs w:val="22"/>
          <w:lang w:val="en-GB"/>
        </w:rPr>
        <w:br/>
        <w:t xml:space="preserve">JURE – </w:t>
      </w:r>
      <w:r w:rsidR="00EC302A">
        <w:rPr>
          <w:sz w:val="22"/>
          <w:szCs w:val="22"/>
          <w:lang w:val="en-GB"/>
        </w:rPr>
        <w:t xml:space="preserve">EU </w:t>
      </w:r>
      <w:r w:rsidR="00EA79BF" w:rsidRPr="007A5C5F">
        <w:rPr>
          <w:sz w:val="22"/>
          <w:szCs w:val="22"/>
          <w:lang w:val="en-GB"/>
        </w:rPr>
        <w:t>Justice Reform Programme</w:t>
      </w:r>
      <w:r w:rsidR="00EA79BF" w:rsidRPr="007A5C5F">
        <w:rPr>
          <w:sz w:val="22"/>
          <w:szCs w:val="22"/>
          <w:lang w:val="en-GB"/>
        </w:rPr>
        <w:br/>
        <w:t>KII – Key Informant Interview</w:t>
      </w:r>
    </w:p>
    <w:p w14:paraId="4EE5743F" w14:textId="3262230E" w:rsidR="00EC302A" w:rsidRDefault="00EC302A" w:rsidP="00DE51FE">
      <w:pPr>
        <w:spacing w:line="276" w:lineRule="auto"/>
        <w:rPr>
          <w:sz w:val="22"/>
          <w:szCs w:val="22"/>
          <w:lang w:val="en-GB"/>
        </w:rPr>
      </w:pPr>
      <w:r>
        <w:rPr>
          <w:sz w:val="22"/>
          <w:szCs w:val="22"/>
          <w:lang w:val="en-GB"/>
        </w:rPr>
        <w:t>KOIKA -</w:t>
      </w:r>
      <w:r w:rsidRPr="00EC302A">
        <w:t xml:space="preserve"> </w:t>
      </w:r>
      <w:r w:rsidRPr="00EC302A">
        <w:rPr>
          <w:sz w:val="22"/>
          <w:szCs w:val="22"/>
        </w:rPr>
        <w:t>Korea International Cooperation Agency</w:t>
      </w:r>
      <w:r w:rsidR="00EA79BF" w:rsidRPr="007A5C5F">
        <w:rPr>
          <w:sz w:val="22"/>
          <w:szCs w:val="22"/>
          <w:lang w:val="en-GB"/>
        </w:rPr>
        <w:br/>
        <w:t>LAC – Legal Aid Commission</w:t>
      </w:r>
    </w:p>
    <w:p w14:paraId="32C19599" w14:textId="77777777" w:rsidR="00EC302A" w:rsidRPr="005D2C5B" w:rsidRDefault="00EC302A" w:rsidP="00DE51FE">
      <w:pPr>
        <w:spacing w:line="276" w:lineRule="auto"/>
        <w:rPr>
          <w:sz w:val="22"/>
          <w:szCs w:val="22"/>
          <w:lang w:val="en-GB"/>
        </w:rPr>
      </w:pPr>
      <w:r>
        <w:rPr>
          <w:sz w:val="22"/>
          <w:szCs w:val="22"/>
          <w:lang w:val="en-GB"/>
        </w:rPr>
        <w:t xml:space="preserve">LLM - </w:t>
      </w:r>
      <w:r w:rsidRPr="00EC302A">
        <w:rPr>
          <w:sz w:val="22"/>
          <w:szCs w:val="22"/>
        </w:rPr>
        <w:t>Legum Magister</w:t>
      </w:r>
      <w:r>
        <w:rPr>
          <w:sz w:val="22"/>
          <w:szCs w:val="22"/>
        </w:rPr>
        <w:t>, a.k.a a</w:t>
      </w:r>
      <w:r w:rsidRPr="00EC302A">
        <w:rPr>
          <w:sz w:val="22"/>
          <w:szCs w:val="22"/>
        </w:rPr>
        <w:t xml:space="preserve"> postgraduate law degree pursued by individuals who have completed a law degree</w:t>
      </w:r>
      <w:r w:rsidR="00EA79BF" w:rsidRPr="007A5C5F">
        <w:rPr>
          <w:sz w:val="22"/>
          <w:szCs w:val="22"/>
          <w:lang w:val="en-GB"/>
        </w:rPr>
        <w:br/>
        <w:t>M&amp;E – Monitoring and Evaluation</w:t>
      </w:r>
      <w:r w:rsidR="00EA79BF" w:rsidRPr="007A5C5F">
        <w:rPr>
          <w:sz w:val="22"/>
          <w:szCs w:val="22"/>
          <w:lang w:val="en-GB"/>
        </w:rPr>
        <w:br/>
        <w:t>MTE – Mid-Term Evaluation</w:t>
      </w:r>
      <w:r w:rsidR="00EA79BF" w:rsidRPr="007A5C5F">
        <w:rPr>
          <w:sz w:val="22"/>
          <w:szCs w:val="22"/>
          <w:lang w:val="en-GB"/>
        </w:rPr>
        <w:br/>
        <w:t>NAPVCW – National Authority for the Protection of Victims of Crime and Witnesses</w:t>
      </w:r>
      <w:r w:rsidR="00EA79BF" w:rsidRPr="007A5C5F">
        <w:rPr>
          <w:sz w:val="22"/>
          <w:szCs w:val="22"/>
          <w:lang w:val="en-GB"/>
        </w:rPr>
        <w:br/>
      </w:r>
      <w:r w:rsidR="00EA79BF" w:rsidRPr="005D2C5B">
        <w:rPr>
          <w:sz w:val="22"/>
          <w:szCs w:val="22"/>
          <w:lang w:val="en-GB"/>
        </w:rPr>
        <w:t>NGO – Non-Governmental Organization</w:t>
      </w:r>
      <w:r w:rsidR="00EA79BF" w:rsidRPr="005D2C5B">
        <w:rPr>
          <w:sz w:val="22"/>
          <w:szCs w:val="22"/>
          <w:lang w:val="en-GB"/>
        </w:rPr>
        <w:br/>
        <w:t>NPC – National Police Commission</w:t>
      </w:r>
    </w:p>
    <w:p w14:paraId="11A1262F" w14:textId="77777777" w:rsidR="00EC302A" w:rsidRPr="005D2C5B" w:rsidRDefault="00EC302A" w:rsidP="00DE51FE">
      <w:pPr>
        <w:spacing w:line="276" w:lineRule="auto"/>
        <w:rPr>
          <w:sz w:val="22"/>
          <w:szCs w:val="22"/>
          <w:lang w:val="en-GB"/>
        </w:rPr>
      </w:pPr>
      <w:r w:rsidRPr="005D2C5B">
        <w:rPr>
          <w:sz w:val="22"/>
          <w:szCs w:val="22"/>
        </w:rPr>
        <w:t>PDVA – Prevention of Domestic Violence Act</w:t>
      </w:r>
      <w:r w:rsidR="00EA79BF" w:rsidRPr="005D2C5B">
        <w:rPr>
          <w:sz w:val="22"/>
          <w:szCs w:val="22"/>
          <w:lang w:val="en-GB"/>
        </w:rPr>
        <w:br/>
        <w:t>ROM – Result-Oriented Monitoring</w:t>
      </w:r>
      <w:r w:rsidR="00EA79BF" w:rsidRPr="005D2C5B">
        <w:rPr>
          <w:sz w:val="22"/>
          <w:szCs w:val="22"/>
          <w:lang w:val="en-GB"/>
        </w:rPr>
        <w:br/>
        <w:t>SDG – Sustainable Development Goals</w:t>
      </w:r>
    </w:p>
    <w:p w14:paraId="685B12E3" w14:textId="77777777" w:rsidR="00EC302A" w:rsidRPr="005D2C5B" w:rsidRDefault="00EC302A" w:rsidP="00DE51FE">
      <w:pPr>
        <w:spacing w:line="276" w:lineRule="auto"/>
        <w:rPr>
          <w:sz w:val="22"/>
          <w:szCs w:val="22"/>
          <w:lang w:val="en-GB"/>
        </w:rPr>
      </w:pPr>
      <w:r w:rsidRPr="005D2C5B">
        <w:rPr>
          <w:sz w:val="22"/>
          <w:szCs w:val="22"/>
        </w:rPr>
        <w:t>SGBV – Sexual and Gender-Based Violence</w:t>
      </w:r>
      <w:r w:rsidR="00EA79BF" w:rsidRPr="005D2C5B">
        <w:rPr>
          <w:sz w:val="22"/>
          <w:szCs w:val="22"/>
          <w:lang w:val="en-GB"/>
        </w:rPr>
        <w:br/>
        <w:t>SLWLA – Sri Lanka Women Lawyers' Association</w:t>
      </w:r>
    </w:p>
    <w:p w14:paraId="54F34A20" w14:textId="77777777" w:rsidR="00EC302A" w:rsidRPr="005D2C5B" w:rsidRDefault="00EC302A" w:rsidP="00DE51FE">
      <w:pPr>
        <w:spacing w:line="276" w:lineRule="auto"/>
        <w:rPr>
          <w:sz w:val="22"/>
          <w:szCs w:val="22"/>
          <w:lang w:val="en-GB"/>
        </w:rPr>
      </w:pPr>
      <w:r w:rsidRPr="005D2C5B">
        <w:rPr>
          <w:sz w:val="22"/>
          <w:szCs w:val="22"/>
        </w:rPr>
        <w:t>TAF – The Asia Foundation</w:t>
      </w:r>
      <w:r w:rsidR="00EA79BF" w:rsidRPr="005D2C5B">
        <w:rPr>
          <w:sz w:val="22"/>
          <w:szCs w:val="22"/>
          <w:lang w:val="en-GB"/>
        </w:rPr>
        <w:br/>
        <w:t>ToC – Theory of Change</w:t>
      </w:r>
      <w:r w:rsidR="00EA79BF" w:rsidRPr="005D2C5B">
        <w:rPr>
          <w:sz w:val="22"/>
          <w:szCs w:val="22"/>
          <w:lang w:val="en-GB"/>
        </w:rPr>
        <w:br/>
        <w:t>UNDP – United Nations Development Programme</w:t>
      </w:r>
      <w:r w:rsidR="00EA79BF" w:rsidRPr="005D2C5B">
        <w:rPr>
          <w:sz w:val="22"/>
          <w:szCs w:val="22"/>
          <w:lang w:val="en-GB"/>
        </w:rPr>
        <w:br/>
        <w:t>UNEG – United Nations Evaluation Group</w:t>
      </w:r>
    </w:p>
    <w:p w14:paraId="0D059B4B" w14:textId="77777777" w:rsidR="00EC302A" w:rsidRPr="005D2C5B" w:rsidRDefault="00EC302A" w:rsidP="00DE51FE">
      <w:pPr>
        <w:spacing w:line="276" w:lineRule="auto"/>
        <w:rPr>
          <w:sz w:val="22"/>
          <w:szCs w:val="22"/>
          <w:lang w:val="en-GB"/>
        </w:rPr>
      </w:pPr>
      <w:r w:rsidRPr="005D2C5B">
        <w:rPr>
          <w:sz w:val="22"/>
          <w:szCs w:val="22"/>
        </w:rPr>
        <w:t>UNHCR – United Nations High Commissioner for Refugees</w:t>
      </w:r>
      <w:r w:rsidR="00EA79BF" w:rsidRPr="005D2C5B">
        <w:rPr>
          <w:sz w:val="22"/>
          <w:szCs w:val="22"/>
          <w:lang w:val="en-GB"/>
        </w:rPr>
        <w:br/>
        <w:t>UNICEF – United Nations Children's Fund</w:t>
      </w:r>
      <w:r w:rsidR="00EA79BF" w:rsidRPr="005D2C5B">
        <w:rPr>
          <w:sz w:val="22"/>
          <w:szCs w:val="22"/>
          <w:lang w:val="en-GB"/>
        </w:rPr>
        <w:br/>
        <w:t>UNSDCF – United Nations Sustainable Development Cooperation</w:t>
      </w:r>
    </w:p>
    <w:p w14:paraId="5425C64C" w14:textId="448F6B4B" w:rsidR="00EA79BF" w:rsidRPr="00EC302A" w:rsidRDefault="00EC302A" w:rsidP="00DE51FE">
      <w:pPr>
        <w:spacing w:line="276" w:lineRule="auto"/>
        <w:rPr>
          <w:sz w:val="22"/>
          <w:szCs w:val="22"/>
        </w:rPr>
        <w:sectPr w:rsidR="00EA79BF" w:rsidRPr="00EC302A" w:rsidSect="00EA79BF">
          <w:headerReference w:type="first" r:id="rId24"/>
          <w:footerReference w:type="first" r:id="rId25"/>
          <w:pgSz w:w="11900" w:h="16840"/>
          <w:pgMar w:top="1440" w:right="1151" w:bottom="1151" w:left="1151" w:header="709" w:footer="709" w:gutter="0"/>
          <w:cols w:space="720"/>
          <w:titlePg/>
        </w:sectPr>
      </w:pPr>
      <w:r w:rsidRPr="005D2C5B">
        <w:rPr>
          <w:sz w:val="22"/>
          <w:szCs w:val="22"/>
        </w:rPr>
        <w:t>WIN – Women in</w:t>
      </w:r>
      <w:r w:rsidRPr="00EC302A">
        <w:rPr>
          <w:sz w:val="22"/>
          <w:szCs w:val="22"/>
        </w:rPr>
        <w:t xml:space="preserve"> Need</w:t>
      </w:r>
      <w:r w:rsidR="00EA79BF" w:rsidRPr="007A5C5F">
        <w:rPr>
          <w:sz w:val="22"/>
          <w:szCs w:val="22"/>
          <w:lang w:val="en-GB"/>
        </w:rPr>
        <w:t xml:space="preserve"> </w:t>
      </w:r>
    </w:p>
    <w:p w14:paraId="48353DBB" w14:textId="77777777" w:rsidR="00EA79BF" w:rsidRPr="007A5C5F" w:rsidRDefault="00EA79BF" w:rsidP="00EA79BF">
      <w:pPr>
        <w:pStyle w:val="Heading1"/>
        <w:jc w:val="center"/>
        <w:rPr>
          <w:rFonts w:ascii="Times New Roman" w:hAnsi="Times New Roman" w:cs="Times New Roman"/>
          <w:lang w:val="en-GB"/>
        </w:rPr>
      </w:pPr>
      <w:bookmarkStart w:id="2" w:name="_Toc188348244"/>
      <w:r w:rsidRPr="007A5C5F">
        <w:rPr>
          <w:rFonts w:ascii="Times New Roman" w:hAnsi="Times New Roman" w:cs="Times New Roman"/>
          <w:lang w:val="en-GB"/>
        </w:rPr>
        <w:lastRenderedPageBreak/>
        <w:t>EXECUTIVE SUMMARY</w:t>
      </w:r>
      <w:bookmarkEnd w:id="2"/>
    </w:p>
    <w:p w14:paraId="3D8E0CE5" w14:textId="77777777" w:rsidR="00EA79BF" w:rsidRPr="007A5C5F" w:rsidRDefault="00EA79BF" w:rsidP="00EA79BF">
      <w:pPr>
        <w:pStyle w:val="Heading2"/>
        <w:rPr>
          <w:lang w:val="en-GB"/>
        </w:rPr>
      </w:pPr>
      <w:bookmarkStart w:id="3" w:name="_Toc188348245"/>
      <w:r w:rsidRPr="007A5C5F">
        <w:rPr>
          <w:lang w:val="en-GB"/>
        </w:rPr>
        <w:t>Description of the intervention</w:t>
      </w:r>
      <w:bookmarkEnd w:id="3"/>
    </w:p>
    <w:p w14:paraId="0D917E7E" w14:textId="77777777" w:rsidR="00EA79BF" w:rsidRPr="00A3584E" w:rsidRDefault="00EA79BF" w:rsidP="00EA79BF">
      <w:pPr>
        <w:jc w:val="both"/>
        <w:rPr>
          <w:sz w:val="22"/>
          <w:szCs w:val="22"/>
          <w:lang w:val="en-GB"/>
        </w:rPr>
      </w:pPr>
      <w:r w:rsidRPr="00A3584E">
        <w:rPr>
          <w:sz w:val="22"/>
          <w:szCs w:val="22"/>
          <w:lang w:val="en-GB"/>
        </w:rPr>
        <w:t xml:space="preserve">The JURE Project, funded by the European Union (EU) and implemented by UNDP and UNICEF, was designed to enhance </w:t>
      </w:r>
      <w:r>
        <w:rPr>
          <w:sz w:val="22"/>
          <w:szCs w:val="22"/>
          <w:lang w:val="en-GB"/>
        </w:rPr>
        <w:t>Sri Lanka's justice system's</w:t>
      </w:r>
      <w:r w:rsidRPr="00A3584E">
        <w:rPr>
          <w:sz w:val="22"/>
          <w:szCs w:val="22"/>
          <w:lang w:val="en-GB"/>
        </w:rPr>
        <w:t xml:space="preserve"> independence, accountability, and efficiency. The intervention aimed to address systemic challenges in access to justice, judicial transparency, and institutional responsiveness, particularly benefiting women, children, and marginalized communities.</w:t>
      </w:r>
    </w:p>
    <w:p w14:paraId="21AE5E53" w14:textId="77777777" w:rsidR="00EA79BF" w:rsidRPr="00A3584E" w:rsidRDefault="00EA79BF" w:rsidP="00EA79BF">
      <w:pPr>
        <w:jc w:val="both"/>
        <w:rPr>
          <w:sz w:val="22"/>
          <w:szCs w:val="22"/>
          <w:lang w:val="en-GB"/>
        </w:rPr>
      </w:pPr>
      <w:r w:rsidRPr="00A3584E">
        <w:rPr>
          <w:sz w:val="22"/>
          <w:szCs w:val="22"/>
          <w:lang w:val="en-GB"/>
        </w:rPr>
        <w:t>The project focused on three key areas:</w:t>
      </w:r>
    </w:p>
    <w:p w14:paraId="3965529F" w14:textId="77777777" w:rsidR="00EA79BF" w:rsidRPr="00A3584E" w:rsidRDefault="00EA79BF" w:rsidP="00EA79BF">
      <w:pPr>
        <w:numPr>
          <w:ilvl w:val="0"/>
          <w:numId w:val="277"/>
        </w:numPr>
        <w:jc w:val="both"/>
        <w:rPr>
          <w:sz w:val="22"/>
          <w:szCs w:val="22"/>
          <w:lang w:val="en-GB"/>
        </w:rPr>
      </w:pPr>
      <w:r w:rsidRPr="00A3584E">
        <w:rPr>
          <w:sz w:val="22"/>
          <w:szCs w:val="22"/>
          <w:lang w:val="en-GB"/>
        </w:rPr>
        <w:t>Enhancing Access to Justice – Expanding legal aid services, ensuring language accessibility, and increasing legal awareness among vulnerable groups.</w:t>
      </w:r>
    </w:p>
    <w:p w14:paraId="7F1F67A3" w14:textId="77777777" w:rsidR="00EA79BF" w:rsidRPr="00A3584E" w:rsidRDefault="00EA79BF" w:rsidP="00EA79BF">
      <w:pPr>
        <w:numPr>
          <w:ilvl w:val="0"/>
          <w:numId w:val="277"/>
        </w:numPr>
        <w:jc w:val="both"/>
        <w:rPr>
          <w:sz w:val="22"/>
          <w:szCs w:val="22"/>
          <w:lang w:val="en-GB"/>
        </w:rPr>
      </w:pPr>
      <w:r w:rsidRPr="00A3584E">
        <w:rPr>
          <w:sz w:val="22"/>
          <w:szCs w:val="22"/>
          <w:lang w:val="en-GB"/>
        </w:rPr>
        <w:t>Strengthening Accountability and Transparency – Improving data-driven governance, reinforcing judicial ethics, and empowering independent oversight bodies.</w:t>
      </w:r>
    </w:p>
    <w:p w14:paraId="72D7DC29" w14:textId="77777777" w:rsidR="00EA79BF" w:rsidRPr="00A3584E" w:rsidRDefault="00EA79BF" w:rsidP="00EA79BF">
      <w:pPr>
        <w:numPr>
          <w:ilvl w:val="0"/>
          <w:numId w:val="277"/>
        </w:numPr>
        <w:jc w:val="both"/>
        <w:rPr>
          <w:sz w:val="22"/>
          <w:szCs w:val="22"/>
          <w:lang w:val="en-GB"/>
        </w:rPr>
      </w:pPr>
      <w:r w:rsidRPr="00A3584E">
        <w:rPr>
          <w:sz w:val="22"/>
          <w:szCs w:val="22"/>
          <w:lang w:val="en-GB"/>
        </w:rPr>
        <w:t>Improving Efficiency and Quality of Justice – Supporting legal reforms, digital transformation, and alternative dispute resolution (ADR) to reduce case backlogs and improve judicial service delivery.</w:t>
      </w:r>
    </w:p>
    <w:p w14:paraId="5E260C26" w14:textId="77777777" w:rsidR="00EA79BF" w:rsidRPr="007A5C5F" w:rsidRDefault="00EA79BF" w:rsidP="00EA79BF">
      <w:pPr>
        <w:jc w:val="both"/>
        <w:rPr>
          <w:sz w:val="22"/>
          <w:szCs w:val="22"/>
          <w:lang w:val="en-GB"/>
        </w:rPr>
      </w:pPr>
    </w:p>
    <w:p w14:paraId="74AD065D" w14:textId="77777777" w:rsidR="00EA79BF" w:rsidRPr="007A5C5F" w:rsidRDefault="00EA79BF" w:rsidP="00EA79BF">
      <w:pPr>
        <w:jc w:val="both"/>
        <w:rPr>
          <w:sz w:val="22"/>
          <w:szCs w:val="22"/>
          <w:lang w:val="en-GB"/>
        </w:rPr>
      </w:pPr>
      <w:r w:rsidRPr="00A3584E">
        <w:rPr>
          <w:sz w:val="22"/>
          <w:szCs w:val="22"/>
          <w:lang w:val="en-GB"/>
        </w:rPr>
        <w:t xml:space="preserve">The intervention was strategically aligned with Sri Lanka’s national reform agenda, SDG 16 (Peace, Justice, and Strong Institutions), and international human rights standards. </w:t>
      </w:r>
      <w:r>
        <w:rPr>
          <w:sz w:val="22"/>
          <w:szCs w:val="22"/>
          <w:lang w:val="en-GB"/>
        </w:rPr>
        <w:t>The</w:t>
      </w:r>
      <w:r w:rsidRPr="00A3584E">
        <w:rPr>
          <w:sz w:val="22"/>
          <w:szCs w:val="22"/>
          <w:lang w:val="en-GB"/>
        </w:rPr>
        <w:t xml:space="preserve"> project sought to establish a modern, inclusive, and sustainable justice system</w:t>
      </w:r>
      <w:r>
        <w:rPr>
          <w:sz w:val="22"/>
          <w:szCs w:val="22"/>
          <w:lang w:val="en-GB"/>
        </w:rPr>
        <w:t xml:space="preserve"> by leveraging institutional capacity-building, policy reforms, and digital innovations</w:t>
      </w:r>
      <w:r w:rsidRPr="00A3584E">
        <w:rPr>
          <w:sz w:val="22"/>
          <w:szCs w:val="22"/>
          <w:lang w:val="en-GB"/>
        </w:rPr>
        <w:t xml:space="preserve">. Through partnerships with government institutions, civil society, academia, and private sector actors, the JURE Project </w:t>
      </w:r>
      <w:r>
        <w:rPr>
          <w:sz w:val="22"/>
          <w:szCs w:val="22"/>
          <w:lang w:val="en-GB"/>
        </w:rPr>
        <w:t>ensured</w:t>
      </w:r>
      <w:r w:rsidRPr="00A3584E">
        <w:rPr>
          <w:sz w:val="22"/>
          <w:szCs w:val="22"/>
          <w:lang w:val="en-GB"/>
        </w:rPr>
        <w:t xml:space="preserve"> that justice reforms were effective, transparent, and accessible to all citizens.</w:t>
      </w:r>
    </w:p>
    <w:p w14:paraId="2CDA0197" w14:textId="77777777" w:rsidR="00EA79BF" w:rsidRPr="007A5C5F" w:rsidRDefault="00EA79BF" w:rsidP="00EA79BF">
      <w:pPr>
        <w:pStyle w:val="Heading2"/>
        <w:rPr>
          <w:lang w:val="en-GB"/>
        </w:rPr>
      </w:pPr>
      <w:bookmarkStart w:id="4" w:name="_Toc188348246"/>
      <w:r w:rsidRPr="007A5C5F">
        <w:rPr>
          <w:lang w:val="en-GB"/>
        </w:rPr>
        <w:t>Objective, Purpose, and Scope of the Mid-Term Evaluation</w:t>
      </w:r>
      <w:bookmarkEnd w:id="4"/>
    </w:p>
    <w:p w14:paraId="427BD599" w14:textId="77777777" w:rsidR="00EA79BF" w:rsidRPr="007A5C5F" w:rsidRDefault="00EA79BF" w:rsidP="00EA79BF">
      <w:pPr>
        <w:jc w:val="both"/>
        <w:rPr>
          <w:sz w:val="22"/>
          <w:szCs w:val="22"/>
          <w:lang w:val="en-GB"/>
        </w:rPr>
      </w:pPr>
      <w:r w:rsidRPr="00A3584E">
        <w:rPr>
          <w:sz w:val="22"/>
          <w:szCs w:val="22"/>
          <w:lang w:val="en-GB"/>
        </w:rPr>
        <w:t>The Mid-Term Evaluation (MTE) provided an independent and comprehensive assessment of the JURE project’s progress and performance. It critically examined the quality of outputs, measured progress against intended and unintended results, and identified opportunities to enhance effectiveness and impact. The evaluation also assessed the project's contribution to broader justice sector reforms, ensuring alignment with international best practices, including gender mainstreaming and a rights-based approach.</w:t>
      </w:r>
    </w:p>
    <w:p w14:paraId="23BE1CF6" w14:textId="77777777" w:rsidR="00EA79BF" w:rsidRPr="00A3584E" w:rsidRDefault="00EA79BF" w:rsidP="00EA79BF">
      <w:pPr>
        <w:jc w:val="both"/>
        <w:rPr>
          <w:sz w:val="22"/>
          <w:szCs w:val="22"/>
          <w:lang w:val="en-GB"/>
        </w:rPr>
      </w:pPr>
    </w:p>
    <w:p w14:paraId="4F69BCB1" w14:textId="77777777" w:rsidR="00EA79BF" w:rsidRPr="007A5C5F" w:rsidRDefault="00EA79BF" w:rsidP="00EA79BF">
      <w:pPr>
        <w:jc w:val="both"/>
        <w:rPr>
          <w:sz w:val="22"/>
          <w:szCs w:val="22"/>
          <w:lang w:val="en-GB"/>
        </w:rPr>
      </w:pPr>
      <w:r w:rsidRPr="00A3584E">
        <w:rPr>
          <w:sz w:val="22"/>
          <w:szCs w:val="22"/>
          <w:lang w:val="en-GB"/>
        </w:rPr>
        <w:t xml:space="preserve">The MTE evaluated the extent to which the project had improved access to justice, accountability, and efficiency within Sri Lanka’s justice system. It provided actionable insights to align the project more closely with national justice reform priorities and global standards. </w:t>
      </w:r>
    </w:p>
    <w:p w14:paraId="2678BC67" w14:textId="77777777" w:rsidR="00EA79BF" w:rsidRPr="00A3584E" w:rsidRDefault="00EA79BF" w:rsidP="00EA79BF">
      <w:pPr>
        <w:jc w:val="both"/>
        <w:rPr>
          <w:sz w:val="22"/>
          <w:szCs w:val="22"/>
          <w:lang w:val="en-GB"/>
        </w:rPr>
      </w:pPr>
    </w:p>
    <w:p w14:paraId="00E076B1" w14:textId="77777777" w:rsidR="00EA79BF" w:rsidRPr="007A5C5F" w:rsidRDefault="00EA79BF" w:rsidP="00EA79BF">
      <w:pPr>
        <w:jc w:val="both"/>
        <w:rPr>
          <w:lang w:val="en-GB"/>
        </w:rPr>
      </w:pPr>
      <w:r w:rsidRPr="00A3584E">
        <w:rPr>
          <w:sz w:val="22"/>
          <w:szCs w:val="22"/>
          <w:lang w:val="en-GB"/>
        </w:rPr>
        <w:t xml:space="preserve">Covering the period from 1 January 2022 to 31 May 2024, the evaluation examined project activities across 10 selected districts in Sri Lanka. It was guided by the OECD DAC evaluation criteria—relevance, coherence, efficiency, effectiveness, sustainability, and impact—along with the EU-specific </w:t>
      </w:r>
      <w:r>
        <w:rPr>
          <w:sz w:val="22"/>
          <w:szCs w:val="22"/>
          <w:lang w:val="en-GB"/>
        </w:rPr>
        <w:t>added-value criterion</w:t>
      </w:r>
      <w:r w:rsidRPr="00A3584E">
        <w:rPr>
          <w:sz w:val="22"/>
          <w:szCs w:val="22"/>
          <w:lang w:val="en-GB"/>
        </w:rPr>
        <w:t xml:space="preserve">. The assessment also reviewed the integration of gender equality, human rights-based approaches, and inclusivity into the project’s design and implementation. </w:t>
      </w:r>
    </w:p>
    <w:p w14:paraId="3E360B6A" w14:textId="77777777" w:rsidR="00EA79BF" w:rsidRPr="007A5C5F" w:rsidRDefault="00EA79BF" w:rsidP="00EA79BF">
      <w:pPr>
        <w:pStyle w:val="Heading3"/>
        <w:rPr>
          <w:lang w:val="en-GB"/>
        </w:rPr>
      </w:pPr>
      <w:r w:rsidRPr="007A5C5F">
        <w:rPr>
          <w:lang w:val="en-GB"/>
        </w:rPr>
        <w:t xml:space="preserve">Evaluation approach and methods: </w:t>
      </w:r>
    </w:p>
    <w:p w14:paraId="3A60B44E" w14:textId="77777777" w:rsidR="00EA79BF" w:rsidRPr="007A5C5F" w:rsidRDefault="00EA79BF" w:rsidP="00EA79BF">
      <w:pPr>
        <w:pStyle w:val="Heading3"/>
        <w:jc w:val="both"/>
        <w:rPr>
          <w:rFonts w:ascii="Times New Roman" w:eastAsia="Times New Roman" w:hAnsi="Times New Roman" w:cs="Times New Roman"/>
          <w:caps w:val="0"/>
          <w:color w:val="auto"/>
          <w:sz w:val="22"/>
          <w:szCs w:val="22"/>
          <w:lang w:val="en-GB"/>
        </w:rPr>
      </w:pPr>
      <w:r w:rsidRPr="007A5C5F">
        <w:rPr>
          <w:rFonts w:ascii="Times New Roman" w:eastAsia="Times New Roman" w:hAnsi="Times New Roman" w:cs="Times New Roman"/>
          <w:caps w:val="0"/>
          <w:color w:val="auto"/>
          <w:sz w:val="22"/>
          <w:szCs w:val="22"/>
          <w:lang w:val="en-GB"/>
        </w:rPr>
        <w:t>The Mid-Term Evaluation (MTE) of the JURE project provided an independent and comprehensive</w:t>
      </w:r>
    </w:p>
    <w:p w14:paraId="2AF1EEA0" w14:textId="16D444B1" w:rsidR="00EA79BF" w:rsidRPr="006C5E84" w:rsidRDefault="00EA79BF" w:rsidP="00EA79BF">
      <w:pPr>
        <w:jc w:val="both"/>
        <w:rPr>
          <w:sz w:val="22"/>
          <w:szCs w:val="22"/>
          <w:lang w:val="en-GB"/>
        </w:rPr>
      </w:pPr>
      <w:r w:rsidRPr="007A5C5F">
        <w:rPr>
          <w:sz w:val="22"/>
          <w:szCs w:val="22"/>
          <w:lang w:val="en-GB"/>
        </w:rPr>
        <w:t xml:space="preserve">assessment of the project's progress and performance toward its stated objectives. The evaluation critically examined the quality of the project’s outputs, measured progress against both intended and unintended results, and identified opportunities to enhance its effectiveness and impact. Additionally, it assessed the project's contribution to broader justice sector reforms and its alignment with international best practices, including gender mainstreaming and a rights-based approach. The MTE evaluated the extent to which the JURE project had achieved its objectives, particularly in improving access to justice, accountability, and efficiency within Sri Lanka’s justice system. </w:t>
      </w:r>
      <w:r w:rsidR="006C5E84" w:rsidRPr="006C5E84">
        <w:rPr>
          <w:sz w:val="22"/>
          <w:szCs w:val="22"/>
          <w:lang w:val="en-GB"/>
        </w:rPr>
        <w:t xml:space="preserve">The evaluation methodology </w:t>
      </w:r>
      <w:r w:rsidR="006C5E84" w:rsidRPr="006C5E84">
        <w:rPr>
          <w:b/>
          <w:bCs/>
          <w:sz w:val="22"/>
          <w:szCs w:val="22"/>
          <w:lang w:val="en-GB"/>
        </w:rPr>
        <w:t>explicitly addressed gender considerations</w:t>
      </w:r>
      <w:r w:rsidR="006C5E84" w:rsidRPr="006C5E84">
        <w:rPr>
          <w:sz w:val="22"/>
          <w:szCs w:val="22"/>
          <w:lang w:val="en-GB"/>
        </w:rPr>
        <w:t xml:space="preserve"> by integrating </w:t>
      </w:r>
      <w:r w:rsidR="006C5E84" w:rsidRPr="006C5E84">
        <w:rPr>
          <w:b/>
          <w:bCs/>
          <w:sz w:val="22"/>
          <w:szCs w:val="22"/>
          <w:lang w:val="en-GB"/>
        </w:rPr>
        <w:t>sex-disaggregated data collection and analysis</w:t>
      </w:r>
      <w:r w:rsidR="006C5E84" w:rsidRPr="006C5E84">
        <w:rPr>
          <w:sz w:val="22"/>
          <w:szCs w:val="22"/>
          <w:lang w:val="en-GB"/>
        </w:rPr>
        <w:t xml:space="preserve">. Informants </w:t>
      </w:r>
      <w:r w:rsidR="006C5E84" w:rsidRPr="006C5E84">
        <w:rPr>
          <w:b/>
          <w:bCs/>
          <w:sz w:val="22"/>
          <w:szCs w:val="22"/>
          <w:lang w:val="en-GB"/>
        </w:rPr>
        <w:t xml:space="preserve">included beneficiaries of activities </w:t>
      </w:r>
      <w:r w:rsidR="006C5E84" w:rsidRPr="006C5E84">
        <w:rPr>
          <w:b/>
          <w:bCs/>
          <w:sz w:val="22"/>
          <w:szCs w:val="22"/>
          <w:lang w:val="en-GB"/>
        </w:rPr>
        <w:lastRenderedPageBreak/>
        <w:t>supporting GBV and DV survivors</w:t>
      </w:r>
      <w:r w:rsidR="006C5E84" w:rsidRPr="006C5E84">
        <w:rPr>
          <w:sz w:val="22"/>
          <w:szCs w:val="22"/>
          <w:lang w:val="en-GB"/>
        </w:rPr>
        <w:t xml:space="preserve">, ensuring a gender-responsive approach. Findings and recommendations </w:t>
      </w:r>
      <w:r w:rsidR="006C5E84" w:rsidRPr="006C5E84">
        <w:rPr>
          <w:b/>
          <w:bCs/>
          <w:sz w:val="22"/>
          <w:szCs w:val="22"/>
          <w:lang w:val="en-GB"/>
        </w:rPr>
        <w:t>were drafted to support the economic and legal empowerment of project beneficiaries</w:t>
      </w:r>
      <w:r w:rsidR="006C5E84" w:rsidRPr="006C5E84">
        <w:rPr>
          <w:sz w:val="22"/>
          <w:szCs w:val="22"/>
          <w:lang w:val="en-GB"/>
        </w:rPr>
        <w:t xml:space="preserve">, particularly </w:t>
      </w:r>
      <w:r w:rsidR="006C5E84">
        <w:rPr>
          <w:sz w:val="22"/>
          <w:szCs w:val="22"/>
          <w:lang w:val="en-GB"/>
        </w:rPr>
        <w:t xml:space="preserve">single </w:t>
      </w:r>
      <w:r w:rsidR="006C5E84" w:rsidRPr="006C5E84">
        <w:rPr>
          <w:b/>
          <w:bCs/>
          <w:sz w:val="22"/>
          <w:szCs w:val="22"/>
          <w:lang w:val="en-GB"/>
        </w:rPr>
        <w:t>mothers</w:t>
      </w:r>
      <w:r w:rsidR="006C5E84">
        <w:rPr>
          <w:b/>
          <w:bCs/>
          <w:sz w:val="22"/>
          <w:szCs w:val="22"/>
          <w:lang w:val="en-GB"/>
        </w:rPr>
        <w:t xml:space="preserve"> supported by JURE</w:t>
      </w:r>
      <w:r w:rsidR="006C5E84" w:rsidRPr="006C5E84">
        <w:rPr>
          <w:sz w:val="22"/>
          <w:szCs w:val="22"/>
          <w:lang w:val="en-GB"/>
        </w:rPr>
        <w:t>, demonstrating a structured focus on gender impact.</w:t>
      </w:r>
      <w:r w:rsidR="006C5E84" w:rsidRPr="006C5E84">
        <w:t xml:space="preserve"> </w:t>
      </w:r>
      <w:r w:rsidR="006C5E84" w:rsidRPr="006C5E84">
        <w:rPr>
          <w:sz w:val="22"/>
          <w:szCs w:val="22"/>
        </w:rPr>
        <w:t xml:space="preserve">The evaluation </w:t>
      </w:r>
      <w:r w:rsidR="006C5E84" w:rsidRPr="006C5E84">
        <w:rPr>
          <w:rStyle w:val="Strong"/>
          <w:sz w:val="22"/>
          <w:szCs w:val="22"/>
        </w:rPr>
        <w:t>accounted for stakeholder diversity</w:t>
      </w:r>
      <w:r w:rsidR="006C5E84" w:rsidRPr="006C5E84">
        <w:rPr>
          <w:sz w:val="22"/>
          <w:szCs w:val="22"/>
        </w:rPr>
        <w:t xml:space="preserve">, incorporating perspectives from </w:t>
      </w:r>
      <w:r w:rsidR="006C5E84" w:rsidRPr="006C5E84">
        <w:rPr>
          <w:rStyle w:val="Strong"/>
          <w:sz w:val="22"/>
          <w:szCs w:val="22"/>
        </w:rPr>
        <w:t>marginalized and vulnerable groups</w:t>
      </w:r>
      <w:r w:rsidR="006C5E84" w:rsidRPr="006C5E84">
        <w:rPr>
          <w:sz w:val="22"/>
          <w:szCs w:val="22"/>
        </w:rPr>
        <w:t xml:space="preserve">, including </w:t>
      </w:r>
      <w:r w:rsidR="006C5E84" w:rsidRPr="006C5E84">
        <w:rPr>
          <w:rStyle w:val="Strong"/>
          <w:sz w:val="22"/>
          <w:szCs w:val="22"/>
        </w:rPr>
        <w:t xml:space="preserve">women-headed households, survivors of violence, </w:t>
      </w:r>
      <w:r w:rsidR="006C5E84">
        <w:rPr>
          <w:rStyle w:val="Strong"/>
          <w:sz w:val="22"/>
          <w:szCs w:val="22"/>
        </w:rPr>
        <w:t xml:space="preserve">language minorities </w:t>
      </w:r>
      <w:r w:rsidR="006C5E84" w:rsidRPr="006C5E84">
        <w:rPr>
          <w:rStyle w:val="Strong"/>
          <w:sz w:val="22"/>
          <w:szCs w:val="22"/>
        </w:rPr>
        <w:t>and economically disadvantaged beneficiaries</w:t>
      </w:r>
      <w:r w:rsidR="006C5E84" w:rsidRPr="006C5E84">
        <w:rPr>
          <w:sz w:val="22"/>
          <w:szCs w:val="22"/>
        </w:rPr>
        <w:t xml:space="preserve">. The </w:t>
      </w:r>
      <w:r w:rsidR="006C5E84" w:rsidRPr="006C5E84">
        <w:rPr>
          <w:b/>
          <w:bCs/>
          <w:sz w:val="22"/>
          <w:szCs w:val="22"/>
        </w:rPr>
        <w:t>sampling frame</w:t>
      </w:r>
      <w:r w:rsidR="006C5E84" w:rsidRPr="006C5E84">
        <w:rPr>
          <w:sz w:val="22"/>
          <w:szCs w:val="22"/>
        </w:rPr>
        <w:t xml:space="preserve"> was designed to ensure </w:t>
      </w:r>
      <w:r w:rsidR="006C5E84" w:rsidRPr="006C5E84">
        <w:rPr>
          <w:rStyle w:val="Strong"/>
          <w:sz w:val="22"/>
          <w:szCs w:val="22"/>
        </w:rPr>
        <w:t>inclusivity</w:t>
      </w:r>
      <w:r w:rsidR="006C5E84" w:rsidRPr="006C5E84">
        <w:rPr>
          <w:sz w:val="22"/>
          <w:szCs w:val="22"/>
        </w:rPr>
        <w:t>, reflecting the diverse experiences of those affected by the intervention.</w:t>
      </w:r>
    </w:p>
    <w:p w14:paraId="1E5C453F" w14:textId="77777777" w:rsidR="00EA79BF" w:rsidRPr="007A5C5F" w:rsidRDefault="00EA79BF" w:rsidP="00EA79BF">
      <w:pPr>
        <w:jc w:val="both"/>
        <w:rPr>
          <w:sz w:val="22"/>
          <w:szCs w:val="22"/>
          <w:lang w:val="en-GB"/>
        </w:rPr>
      </w:pPr>
      <w:r w:rsidRPr="007A5C5F">
        <w:rPr>
          <w:sz w:val="22"/>
          <w:szCs w:val="22"/>
          <w:lang w:val="en-GB"/>
        </w:rPr>
        <w:t>Based on the findings and analysis, the evaluation team provided actionable insights on how the project could be better aligned with national justice reform priorities and global standards. The recommendations aimed to ensure that the project remained responsive to the evolving socio-political context while enhancing its strategic direction for the remainder of the implementation period.</w:t>
      </w:r>
    </w:p>
    <w:p w14:paraId="54D9428D" w14:textId="77777777" w:rsidR="00EA79BF" w:rsidRPr="007A5C5F" w:rsidRDefault="00EA79BF" w:rsidP="00EA79BF">
      <w:pPr>
        <w:pStyle w:val="Heading3"/>
        <w:jc w:val="both"/>
        <w:rPr>
          <w:rFonts w:ascii="Times New Roman" w:eastAsia="Times New Roman" w:hAnsi="Times New Roman" w:cs="Times New Roman"/>
          <w:caps w:val="0"/>
          <w:color w:val="auto"/>
          <w:sz w:val="22"/>
          <w:szCs w:val="22"/>
          <w:lang w:val="en-GB"/>
        </w:rPr>
      </w:pPr>
      <w:r w:rsidRPr="007A5C5F">
        <w:rPr>
          <w:rFonts w:ascii="Times New Roman" w:hAnsi="Times New Roman" w:cs="Times New Roman"/>
          <w:caps w:val="0"/>
          <w:lang w:val="en-GB"/>
        </w:rPr>
        <w:t>Data sources</w:t>
      </w:r>
      <w:r w:rsidRPr="007A5C5F">
        <w:rPr>
          <w:rFonts w:ascii="Times New Roman" w:eastAsia="Times New Roman" w:hAnsi="Times New Roman" w:cs="Times New Roman"/>
          <w:caps w:val="0"/>
          <w:color w:val="auto"/>
          <w:sz w:val="22"/>
          <w:szCs w:val="22"/>
          <w:lang w:val="en-GB"/>
        </w:rPr>
        <w:t xml:space="preserve">: The evaluation team collected and analysed data from </w:t>
      </w:r>
      <w:r w:rsidRPr="00C900FD">
        <w:rPr>
          <w:rFonts w:ascii="Times New Roman" w:eastAsia="Times New Roman" w:hAnsi="Times New Roman" w:cs="Times New Roman"/>
          <w:caps w:val="0"/>
          <w:color w:val="auto"/>
          <w:sz w:val="22"/>
          <w:szCs w:val="22"/>
          <w:lang w:val="en-GB"/>
        </w:rPr>
        <w:t>various sources,</w:t>
      </w:r>
      <w:r>
        <w:rPr>
          <w:rFonts w:eastAsia="Times New Roman" w:cs="Times New Roman"/>
          <w:color w:val="auto"/>
          <w:sz w:val="22"/>
          <w:szCs w:val="22"/>
          <w:lang w:val="en-GB"/>
        </w:rPr>
        <w:t xml:space="preserve"> </w:t>
      </w:r>
      <w:r w:rsidRPr="00C900FD">
        <w:rPr>
          <w:rFonts w:ascii="Times New Roman" w:eastAsia="Times New Roman" w:hAnsi="Times New Roman" w:cs="Times New Roman"/>
          <w:caps w:val="0"/>
          <w:color w:val="auto"/>
          <w:sz w:val="22"/>
          <w:szCs w:val="22"/>
          <w:lang w:val="en-GB"/>
        </w:rPr>
        <w:t>integrating</w:t>
      </w:r>
      <w:r w:rsidRPr="007A5C5F">
        <w:rPr>
          <w:rFonts w:ascii="Times New Roman" w:eastAsia="Times New Roman" w:hAnsi="Times New Roman" w:cs="Times New Roman"/>
          <w:caps w:val="0"/>
          <w:color w:val="auto"/>
          <w:sz w:val="22"/>
          <w:szCs w:val="22"/>
          <w:lang w:val="en-GB"/>
        </w:rPr>
        <w:t xml:space="preserve"> primary and secondary information from relevant stakeholders through a mixed-methods approach that combined qualitative and quantitative methodologies. Data collection methods included Key Informant Interviews (KIIs), Focus Group Discussions (FGDs), and a comprehensive Literature Review, utilizing the approved Participatory Rural Appraisal (PRA) tools to ensure a robust and inclusive evaluation process.</w:t>
      </w:r>
    </w:p>
    <w:p w14:paraId="4290E8A6" w14:textId="097EE9C4" w:rsidR="00EA79BF" w:rsidRPr="00C900FD" w:rsidRDefault="00EA79BF" w:rsidP="00C900FD">
      <w:pPr>
        <w:pStyle w:val="Heading3"/>
        <w:jc w:val="both"/>
        <w:rPr>
          <w:rFonts w:ascii="Times New Roman" w:eastAsia="Times New Roman" w:hAnsi="Times New Roman" w:cs="Times New Roman"/>
          <w:caps w:val="0"/>
          <w:color w:val="auto"/>
          <w:sz w:val="22"/>
          <w:szCs w:val="22"/>
          <w:lang w:val="en-GB"/>
        </w:rPr>
      </w:pPr>
      <w:r w:rsidRPr="00C900FD">
        <w:rPr>
          <w:rFonts w:ascii="Times New Roman" w:eastAsia="Times New Roman" w:hAnsi="Times New Roman" w:cs="Times New Roman"/>
          <w:caps w:val="0"/>
          <w:color w:val="auto"/>
          <w:sz w:val="22"/>
          <w:szCs w:val="22"/>
          <w:lang w:val="en-GB"/>
        </w:rPr>
        <w:t>The data collection phase commenced on 28 October and continued until 8 November 2024 before temporarily pausing due to the elections. It resumed afterwards and concluded at the end of November 2024. The process covered a broad geographic scope across Sri Lanka, including key locations such as Colombo, Galle, Matara, Jaffna, Batticaloa, Anuradhapura, Ratnapura, Kurunegala, Hatton, and Nuwara Eliya. This extensive coverage ensured a diverse and representative dataset, capturing insights from both urban and regional stakeholders.</w:t>
      </w:r>
    </w:p>
    <w:p w14:paraId="6AD55B91" w14:textId="3A3291D0" w:rsidR="00EA79BF" w:rsidRPr="007A5C5F" w:rsidRDefault="00EA79BF" w:rsidP="00C900FD">
      <w:pPr>
        <w:pStyle w:val="Heading2"/>
        <w:jc w:val="center"/>
        <w:rPr>
          <w:lang w:val="en-GB"/>
        </w:rPr>
      </w:pPr>
      <w:bookmarkStart w:id="5" w:name="_Toc188348247"/>
      <w:r w:rsidRPr="007A5C5F">
        <w:rPr>
          <w:lang w:val="en-GB"/>
        </w:rPr>
        <w:t>Key Findings and Conclusion</w:t>
      </w:r>
      <w:bookmarkEnd w:id="5"/>
    </w:p>
    <w:p w14:paraId="1626A7A4" w14:textId="77777777" w:rsidR="00EA79BF" w:rsidRPr="007A5C5F" w:rsidRDefault="00EA79BF" w:rsidP="00EA79BF">
      <w:pPr>
        <w:jc w:val="both"/>
        <w:rPr>
          <w:sz w:val="22"/>
          <w:szCs w:val="22"/>
          <w:lang w:val="en-GB"/>
        </w:rPr>
      </w:pPr>
      <w:r w:rsidRPr="008F1B97">
        <w:rPr>
          <w:b/>
          <w:bCs/>
          <w:i/>
          <w:iCs/>
          <w:color w:val="538135" w:themeColor="accent6" w:themeShade="BF"/>
          <w:sz w:val="22"/>
          <w:szCs w:val="22"/>
          <w:lang w:val="en-GB"/>
        </w:rPr>
        <w:t>Finding 1: Relevance to National and Global Priorities</w:t>
      </w:r>
      <w:r w:rsidRPr="007A5C5F">
        <w:rPr>
          <w:b/>
          <w:bCs/>
          <w:i/>
          <w:iCs/>
          <w:color w:val="538135" w:themeColor="accent6" w:themeShade="BF"/>
          <w:sz w:val="22"/>
          <w:szCs w:val="22"/>
          <w:lang w:val="en-GB"/>
        </w:rPr>
        <w:t>.</w:t>
      </w:r>
      <w:r w:rsidRPr="007A5C5F">
        <w:rPr>
          <w:b/>
          <w:bCs/>
          <w:color w:val="538135" w:themeColor="accent6" w:themeShade="BF"/>
          <w:sz w:val="22"/>
          <w:szCs w:val="22"/>
          <w:lang w:val="en-GB"/>
        </w:rPr>
        <w:t xml:space="preserve"> </w:t>
      </w:r>
      <w:r w:rsidRPr="008F1B97">
        <w:rPr>
          <w:sz w:val="22"/>
          <w:szCs w:val="22"/>
          <w:lang w:val="en-GB"/>
        </w:rPr>
        <w:t>JURE’s comprehensive focus on legal empowerment, capacity building, and institutional reforms ensures its alignment with national and global development priorities. Its integration of SDG 16.3 and the New European Consensus on Development (2017) reflects a strong commitment to equitable, transparent, and effective justice systems.</w:t>
      </w:r>
    </w:p>
    <w:p w14:paraId="63F9E9A9" w14:textId="77777777" w:rsidR="00EA79BF" w:rsidRPr="008F1B97" w:rsidRDefault="00EA79BF" w:rsidP="00EA79BF">
      <w:pPr>
        <w:jc w:val="both"/>
        <w:rPr>
          <w:b/>
          <w:bCs/>
          <w:color w:val="538135" w:themeColor="accent6" w:themeShade="BF"/>
          <w:sz w:val="22"/>
          <w:szCs w:val="22"/>
          <w:lang w:val="en-GB"/>
        </w:rPr>
      </w:pPr>
    </w:p>
    <w:p w14:paraId="0585E33F" w14:textId="77777777" w:rsidR="00EA79BF" w:rsidRDefault="00EA79BF" w:rsidP="00EA79BF">
      <w:pPr>
        <w:jc w:val="both"/>
        <w:rPr>
          <w:sz w:val="22"/>
          <w:szCs w:val="22"/>
          <w:lang w:val="en-GB"/>
        </w:rPr>
      </w:pPr>
      <w:r w:rsidRPr="008F1B97">
        <w:rPr>
          <w:b/>
          <w:bCs/>
          <w:i/>
          <w:iCs/>
          <w:color w:val="538135" w:themeColor="accent6" w:themeShade="BF"/>
          <w:sz w:val="22"/>
          <w:szCs w:val="22"/>
          <w:lang w:val="en-GB"/>
        </w:rPr>
        <w:t>Finding 2: Design Limitations and Systemic Challenges</w:t>
      </w:r>
      <w:r w:rsidRPr="007A5C5F">
        <w:rPr>
          <w:b/>
          <w:bCs/>
          <w:i/>
          <w:iCs/>
          <w:color w:val="538135" w:themeColor="accent6" w:themeShade="BF"/>
          <w:sz w:val="22"/>
          <w:szCs w:val="22"/>
          <w:lang w:val="en-GB"/>
        </w:rPr>
        <w:t>.</w:t>
      </w:r>
      <w:r w:rsidRPr="007A5C5F">
        <w:rPr>
          <w:b/>
          <w:bCs/>
          <w:color w:val="538135" w:themeColor="accent6" w:themeShade="BF"/>
          <w:sz w:val="22"/>
          <w:szCs w:val="22"/>
          <w:lang w:val="en-GB"/>
        </w:rPr>
        <w:t xml:space="preserve"> </w:t>
      </w:r>
      <w:r w:rsidRPr="008F1B97">
        <w:rPr>
          <w:sz w:val="22"/>
          <w:szCs w:val="22"/>
          <w:lang w:val="en-GB"/>
        </w:rPr>
        <w:t xml:space="preserve">While JURE has contributed significantly to the justice sector, its design exhibited certain limitations. The project did not fully address systemic inefficiencies, regional disparities, or the digital divide, which has constrained equitable access to justice. The rapid expansion from six to eleven outputs further introduced operational complexities, diluting </w:t>
      </w:r>
      <w:r>
        <w:rPr>
          <w:sz w:val="22"/>
          <w:szCs w:val="22"/>
          <w:lang w:val="en-GB"/>
        </w:rPr>
        <w:t xml:space="preserve">the </w:t>
      </w:r>
      <w:r w:rsidRPr="008F1B97">
        <w:rPr>
          <w:sz w:val="22"/>
          <w:szCs w:val="22"/>
          <w:lang w:val="en-GB"/>
        </w:rPr>
        <w:t>overall impact.</w:t>
      </w:r>
    </w:p>
    <w:p w14:paraId="58F59FCE" w14:textId="77777777" w:rsidR="00570CAD" w:rsidRPr="008F1B97" w:rsidRDefault="00570CAD" w:rsidP="00EA79BF">
      <w:pPr>
        <w:jc w:val="both"/>
        <w:rPr>
          <w:b/>
          <w:bCs/>
          <w:color w:val="538135" w:themeColor="accent6" w:themeShade="BF"/>
          <w:sz w:val="22"/>
          <w:szCs w:val="22"/>
          <w:lang w:val="en-GB"/>
        </w:rPr>
      </w:pPr>
    </w:p>
    <w:p w14:paraId="2F5E0E1F" w14:textId="28FFAE7F" w:rsidR="00570CAD" w:rsidRPr="007A5C5F" w:rsidRDefault="00EA79BF" w:rsidP="002B6C6E">
      <w:pPr>
        <w:jc w:val="both"/>
        <w:rPr>
          <w:sz w:val="22"/>
          <w:szCs w:val="22"/>
          <w:lang w:val="en-GB"/>
        </w:rPr>
      </w:pPr>
      <w:r w:rsidRPr="008F1B97">
        <w:rPr>
          <w:b/>
          <w:bCs/>
          <w:i/>
          <w:iCs/>
          <w:color w:val="538135" w:themeColor="accent6" w:themeShade="BF"/>
          <w:sz w:val="22"/>
          <w:szCs w:val="22"/>
          <w:lang w:val="en-GB"/>
        </w:rPr>
        <w:t>Finding 3: Omission of Environmental Justice Initiatives</w:t>
      </w:r>
      <w:r w:rsidRPr="007A5C5F">
        <w:rPr>
          <w:b/>
          <w:bCs/>
          <w:i/>
          <w:iCs/>
          <w:color w:val="538135" w:themeColor="accent6" w:themeShade="BF"/>
          <w:sz w:val="22"/>
          <w:szCs w:val="22"/>
          <w:lang w:val="en-GB"/>
        </w:rPr>
        <w:t>.</w:t>
      </w:r>
      <w:r w:rsidRPr="007A5C5F">
        <w:rPr>
          <w:b/>
          <w:bCs/>
          <w:color w:val="538135" w:themeColor="accent6" w:themeShade="BF"/>
          <w:sz w:val="22"/>
          <w:szCs w:val="22"/>
          <w:lang w:val="en-GB"/>
        </w:rPr>
        <w:t xml:space="preserve"> </w:t>
      </w:r>
      <w:r w:rsidR="002B6C6E" w:rsidRPr="008F1B97">
        <w:rPr>
          <w:sz w:val="22"/>
          <w:szCs w:val="22"/>
          <w:lang w:val="en-GB"/>
        </w:rPr>
        <w:t>The LLM in Environmental Law remains a cornerstone of sustainability for JURE, fostering long-term legal expertise in environmental governance</w:t>
      </w:r>
      <w:r w:rsidR="002B6C6E">
        <w:rPr>
          <w:sz w:val="22"/>
          <w:szCs w:val="22"/>
          <w:lang w:val="en-GB"/>
        </w:rPr>
        <w:t xml:space="preserve"> and t</w:t>
      </w:r>
      <w:r w:rsidR="002B6C6E" w:rsidRPr="008F1B97">
        <w:rPr>
          <w:sz w:val="22"/>
          <w:szCs w:val="22"/>
          <w:lang w:val="en-GB"/>
        </w:rPr>
        <w:t xml:space="preserve">he project successfully established South Asia’s first master’s program in Environmental and Climate Change Law. </w:t>
      </w:r>
      <w:r w:rsidRPr="008F1B97">
        <w:rPr>
          <w:sz w:val="22"/>
          <w:szCs w:val="22"/>
          <w:lang w:val="en-GB"/>
        </w:rPr>
        <w:t xml:space="preserve">The exclusion of environmental justice initiatives from the 2024 Work Plan represents a missed opportunity, </w:t>
      </w:r>
      <w:r w:rsidR="002B6C6E" w:rsidRPr="008F1B97">
        <w:rPr>
          <w:sz w:val="22"/>
          <w:szCs w:val="22"/>
          <w:lang w:val="en-GB"/>
        </w:rPr>
        <w:t>the discontinuation of certain complementary activities, such as policy research and institutional capacity-building, risks undermining this progress</w:t>
      </w:r>
      <w:r w:rsidR="002B6C6E">
        <w:rPr>
          <w:sz w:val="22"/>
          <w:szCs w:val="22"/>
          <w:lang w:val="en-GB"/>
        </w:rPr>
        <w:t xml:space="preserve">, </w:t>
      </w:r>
      <w:r w:rsidRPr="008F1B97">
        <w:rPr>
          <w:sz w:val="22"/>
          <w:szCs w:val="22"/>
          <w:lang w:val="en-GB"/>
        </w:rPr>
        <w:t xml:space="preserve">particularly given the demonstrated impact of prior interventions. </w:t>
      </w:r>
    </w:p>
    <w:p w14:paraId="4750CF2A" w14:textId="77777777" w:rsidR="00EA79BF" w:rsidRPr="008F1B97" w:rsidRDefault="00EA79BF" w:rsidP="00EA79BF">
      <w:pPr>
        <w:jc w:val="both"/>
        <w:rPr>
          <w:b/>
          <w:bCs/>
          <w:color w:val="538135" w:themeColor="accent6" w:themeShade="BF"/>
          <w:sz w:val="22"/>
          <w:szCs w:val="22"/>
          <w:lang w:val="en-GB"/>
        </w:rPr>
      </w:pPr>
    </w:p>
    <w:p w14:paraId="022854CE" w14:textId="77777777" w:rsidR="00EA79BF" w:rsidRPr="007A5C5F" w:rsidRDefault="00EA79BF" w:rsidP="00EA79BF">
      <w:pPr>
        <w:jc w:val="both"/>
        <w:rPr>
          <w:sz w:val="22"/>
          <w:szCs w:val="22"/>
          <w:lang w:val="en-GB"/>
        </w:rPr>
      </w:pPr>
      <w:r w:rsidRPr="008F1B97">
        <w:rPr>
          <w:b/>
          <w:bCs/>
          <w:i/>
          <w:iCs/>
          <w:color w:val="538135" w:themeColor="accent6" w:themeShade="BF"/>
          <w:sz w:val="22"/>
          <w:szCs w:val="22"/>
          <w:lang w:val="en-GB"/>
        </w:rPr>
        <w:t>Finding 4: Internal Coherence and Synergies</w:t>
      </w:r>
      <w:r w:rsidRPr="007A5C5F">
        <w:rPr>
          <w:b/>
          <w:bCs/>
          <w:color w:val="538135" w:themeColor="accent6" w:themeShade="BF"/>
          <w:sz w:val="22"/>
          <w:szCs w:val="22"/>
          <w:lang w:val="en-GB"/>
        </w:rPr>
        <w:t xml:space="preserve">. </w:t>
      </w:r>
      <w:r w:rsidRPr="008F1B97">
        <w:rPr>
          <w:sz w:val="22"/>
          <w:szCs w:val="22"/>
          <w:lang w:val="en-GB"/>
        </w:rPr>
        <w:t>JURE has demonstrated a degree of internal coherence, particularly within UNDP’s SDG 16 portfolio. However, significant potential remains to enhance this coherence by adopting a more integrated approach, leveraging synergies across thematic areas such as economic resilience, governance, and environmental justice.</w:t>
      </w:r>
    </w:p>
    <w:p w14:paraId="604A0E71" w14:textId="77777777" w:rsidR="00EA79BF" w:rsidRPr="008F1B97" w:rsidRDefault="00EA79BF" w:rsidP="00EA79BF">
      <w:pPr>
        <w:jc w:val="both"/>
        <w:rPr>
          <w:b/>
          <w:bCs/>
          <w:color w:val="538135" w:themeColor="accent6" w:themeShade="BF"/>
          <w:sz w:val="22"/>
          <w:szCs w:val="22"/>
          <w:lang w:val="en-GB"/>
        </w:rPr>
      </w:pPr>
    </w:p>
    <w:p w14:paraId="1418FA52" w14:textId="73D605D7" w:rsidR="00EA79BF" w:rsidRPr="007A5C5F" w:rsidRDefault="00EA79BF" w:rsidP="00EA79BF">
      <w:pPr>
        <w:jc w:val="both"/>
        <w:rPr>
          <w:sz w:val="22"/>
          <w:szCs w:val="22"/>
          <w:lang w:val="en-GB"/>
        </w:rPr>
      </w:pPr>
      <w:r w:rsidRPr="008F1B97">
        <w:rPr>
          <w:b/>
          <w:bCs/>
          <w:i/>
          <w:iCs/>
          <w:color w:val="538135" w:themeColor="accent6" w:themeShade="BF"/>
          <w:sz w:val="22"/>
          <w:szCs w:val="22"/>
          <w:lang w:val="en-GB"/>
        </w:rPr>
        <w:t>Finding 5: Fragmentation in External Coordination</w:t>
      </w:r>
      <w:r w:rsidRPr="007A5C5F">
        <w:rPr>
          <w:b/>
          <w:bCs/>
          <w:i/>
          <w:iCs/>
          <w:color w:val="538135" w:themeColor="accent6" w:themeShade="BF"/>
          <w:sz w:val="22"/>
          <w:szCs w:val="22"/>
          <w:lang w:val="en-GB"/>
        </w:rPr>
        <w:t>.</w:t>
      </w:r>
      <w:r w:rsidRPr="007A5C5F">
        <w:rPr>
          <w:b/>
          <w:bCs/>
          <w:color w:val="538135" w:themeColor="accent6" w:themeShade="BF"/>
          <w:sz w:val="22"/>
          <w:szCs w:val="22"/>
          <w:lang w:val="en-GB"/>
        </w:rPr>
        <w:t xml:space="preserve"> </w:t>
      </w:r>
      <w:r w:rsidRPr="008F1B97">
        <w:rPr>
          <w:sz w:val="22"/>
          <w:szCs w:val="22"/>
          <w:lang w:val="en-GB"/>
        </w:rPr>
        <w:t xml:space="preserve">The project operates in a </w:t>
      </w:r>
      <w:r w:rsidR="002B6C6E">
        <w:rPr>
          <w:sz w:val="22"/>
          <w:szCs w:val="22"/>
          <w:lang w:val="en-GB"/>
        </w:rPr>
        <w:t xml:space="preserve">crowded </w:t>
      </w:r>
      <w:r w:rsidRPr="008F1B97">
        <w:rPr>
          <w:sz w:val="22"/>
          <w:szCs w:val="22"/>
          <w:lang w:val="en-GB"/>
        </w:rPr>
        <w:t>development landscape, where multiple donors—including USAID, KOICA, JICA, and UNODC—support overlapping justice sector initiatives. While this environment offers collaboration opportunities, the absence of a structured donor coordination framework presents risks of duplication and inefficiencies.</w:t>
      </w:r>
    </w:p>
    <w:p w14:paraId="1D47CA2C" w14:textId="77777777" w:rsidR="00EA79BF" w:rsidRPr="008F1B97" w:rsidRDefault="00EA79BF" w:rsidP="00EA79BF">
      <w:pPr>
        <w:jc w:val="both"/>
        <w:rPr>
          <w:b/>
          <w:bCs/>
          <w:color w:val="538135" w:themeColor="accent6" w:themeShade="BF"/>
          <w:sz w:val="22"/>
          <w:szCs w:val="22"/>
          <w:lang w:val="en-GB"/>
        </w:rPr>
      </w:pPr>
    </w:p>
    <w:p w14:paraId="6623BE2B" w14:textId="3901327D" w:rsidR="00EA79BF" w:rsidRPr="007A5C5F" w:rsidRDefault="00EA79BF" w:rsidP="00EA79BF">
      <w:pPr>
        <w:jc w:val="both"/>
        <w:rPr>
          <w:sz w:val="22"/>
          <w:szCs w:val="22"/>
          <w:lang w:val="en-GB"/>
        </w:rPr>
      </w:pPr>
      <w:r w:rsidRPr="008F1B97">
        <w:rPr>
          <w:b/>
          <w:bCs/>
          <w:i/>
          <w:iCs/>
          <w:color w:val="538135" w:themeColor="accent6" w:themeShade="BF"/>
          <w:sz w:val="22"/>
          <w:szCs w:val="22"/>
          <w:lang w:val="en-GB"/>
        </w:rPr>
        <w:lastRenderedPageBreak/>
        <w:t>Finding 6: Financial Management and Efficien</w:t>
      </w:r>
      <w:r w:rsidRPr="008F1B97">
        <w:rPr>
          <w:b/>
          <w:bCs/>
          <w:color w:val="538135" w:themeColor="accent6" w:themeShade="BF"/>
          <w:sz w:val="22"/>
          <w:szCs w:val="22"/>
          <w:lang w:val="en-GB"/>
        </w:rPr>
        <w:t>cy</w:t>
      </w:r>
      <w:r w:rsidRPr="007A5C5F">
        <w:rPr>
          <w:b/>
          <w:bCs/>
          <w:color w:val="538135" w:themeColor="accent6" w:themeShade="BF"/>
          <w:sz w:val="22"/>
          <w:szCs w:val="22"/>
          <w:lang w:val="en-GB"/>
        </w:rPr>
        <w:t xml:space="preserve">. </w:t>
      </w:r>
      <w:r w:rsidRPr="008F1B97">
        <w:rPr>
          <w:sz w:val="22"/>
          <w:szCs w:val="22"/>
          <w:lang w:val="en-GB"/>
        </w:rPr>
        <w:t xml:space="preserve">Despite notable progress, JURE has faced challenges </w:t>
      </w:r>
      <w:r w:rsidRPr="007A5C5F">
        <w:rPr>
          <w:sz w:val="22"/>
          <w:szCs w:val="22"/>
          <w:lang w:val="en-GB"/>
        </w:rPr>
        <w:t>in financial</w:t>
      </w:r>
      <w:r w:rsidRPr="008F1B97">
        <w:rPr>
          <w:sz w:val="22"/>
          <w:szCs w:val="22"/>
          <w:lang w:val="en-GB"/>
        </w:rPr>
        <w:t xml:space="preserve"> management, particularly in fund disbursement delays and disparities in expenditure rates. As of </w:t>
      </w:r>
      <w:r w:rsidR="00570CAD">
        <w:rPr>
          <w:sz w:val="22"/>
          <w:szCs w:val="22"/>
          <w:lang w:val="en-GB"/>
        </w:rPr>
        <w:t>June 2024</w:t>
      </w:r>
      <w:r w:rsidRPr="008F1B97">
        <w:rPr>
          <w:sz w:val="22"/>
          <w:szCs w:val="22"/>
          <w:lang w:val="en-GB"/>
        </w:rPr>
        <w:t xml:space="preserve">, </w:t>
      </w:r>
      <w:r w:rsidR="006C5CC9">
        <w:rPr>
          <w:sz w:val="22"/>
          <w:szCs w:val="22"/>
        </w:rPr>
        <w:t>t</w:t>
      </w:r>
      <w:r w:rsidR="006C5CC9" w:rsidRPr="006C5CC9">
        <w:rPr>
          <w:sz w:val="22"/>
          <w:szCs w:val="22"/>
        </w:rPr>
        <w:t xml:space="preserve">he actual expenditure amounts to </w:t>
      </w:r>
      <w:r w:rsidR="006C5CC9" w:rsidRPr="006C5CC9">
        <w:rPr>
          <w:b/>
          <w:bCs/>
          <w:sz w:val="22"/>
          <w:szCs w:val="22"/>
        </w:rPr>
        <w:t>5,833,772.01</w:t>
      </w:r>
      <w:r w:rsidR="006C5CC9" w:rsidRPr="006C5CC9">
        <w:rPr>
          <w:sz w:val="22"/>
          <w:szCs w:val="22"/>
        </w:rPr>
        <w:t xml:space="preserve">, and with a total received amount of </w:t>
      </w:r>
      <w:r w:rsidR="006C5CC9" w:rsidRPr="006C5CC9">
        <w:rPr>
          <w:b/>
          <w:bCs/>
          <w:sz w:val="22"/>
          <w:szCs w:val="22"/>
        </w:rPr>
        <w:t>7,148,771</w:t>
      </w:r>
      <w:r w:rsidR="006C5CC9" w:rsidRPr="006C5CC9">
        <w:rPr>
          <w:sz w:val="22"/>
          <w:szCs w:val="22"/>
        </w:rPr>
        <w:t xml:space="preserve">, the disbursement rate is </w:t>
      </w:r>
      <w:r w:rsidR="006C5CC9" w:rsidRPr="006C5CC9">
        <w:rPr>
          <w:b/>
          <w:bCs/>
          <w:sz w:val="22"/>
          <w:szCs w:val="22"/>
        </w:rPr>
        <w:t>82</w:t>
      </w:r>
      <w:r w:rsidR="006C5CC9">
        <w:rPr>
          <w:b/>
          <w:bCs/>
          <w:sz w:val="22"/>
          <w:szCs w:val="22"/>
        </w:rPr>
        <w:t>%</w:t>
      </w:r>
      <w:r w:rsidR="006C5CC9" w:rsidRPr="006C5CC9">
        <w:rPr>
          <w:sz w:val="22"/>
          <w:szCs w:val="22"/>
        </w:rPr>
        <w:t xml:space="preserve">. </w:t>
      </w:r>
    </w:p>
    <w:p w14:paraId="04435CB4" w14:textId="77777777" w:rsidR="00EA79BF" w:rsidRPr="008F1B97" w:rsidRDefault="00EA79BF" w:rsidP="00EA79BF">
      <w:pPr>
        <w:jc w:val="both"/>
        <w:rPr>
          <w:b/>
          <w:bCs/>
          <w:color w:val="538135" w:themeColor="accent6" w:themeShade="BF"/>
          <w:sz w:val="22"/>
          <w:szCs w:val="22"/>
          <w:lang w:val="en-GB"/>
        </w:rPr>
      </w:pPr>
    </w:p>
    <w:p w14:paraId="27481A24" w14:textId="77777777" w:rsidR="00EA79BF" w:rsidRPr="007A5C5F" w:rsidRDefault="00EA79BF" w:rsidP="00EA79BF">
      <w:pPr>
        <w:jc w:val="both"/>
        <w:rPr>
          <w:sz w:val="22"/>
          <w:szCs w:val="22"/>
          <w:lang w:val="en-GB"/>
        </w:rPr>
      </w:pPr>
      <w:r w:rsidRPr="008F1B97">
        <w:rPr>
          <w:b/>
          <w:bCs/>
          <w:i/>
          <w:iCs/>
          <w:color w:val="538135" w:themeColor="accent6" w:themeShade="BF"/>
          <w:sz w:val="22"/>
          <w:szCs w:val="22"/>
          <w:lang w:val="en-GB"/>
        </w:rPr>
        <w:t>Finding 7: Adaptive Management and Response to ROM Recommendations</w:t>
      </w:r>
      <w:r w:rsidRPr="007A5C5F">
        <w:rPr>
          <w:b/>
          <w:bCs/>
          <w:i/>
          <w:iCs/>
          <w:color w:val="538135" w:themeColor="accent6" w:themeShade="BF"/>
          <w:sz w:val="22"/>
          <w:szCs w:val="22"/>
          <w:lang w:val="en-GB"/>
        </w:rPr>
        <w:t>.</w:t>
      </w:r>
      <w:r w:rsidRPr="007A5C5F">
        <w:rPr>
          <w:b/>
          <w:bCs/>
          <w:color w:val="538135" w:themeColor="accent6" w:themeShade="BF"/>
          <w:sz w:val="22"/>
          <w:szCs w:val="22"/>
          <w:lang w:val="en-GB"/>
        </w:rPr>
        <w:t xml:space="preserve"> </w:t>
      </w:r>
      <w:r w:rsidRPr="008F1B97">
        <w:rPr>
          <w:sz w:val="22"/>
          <w:szCs w:val="22"/>
          <w:lang w:val="en-GB"/>
        </w:rPr>
        <w:t>JURE has shown strong adaptive management by incorporating key recommendations from the Result-Oriented Monitoring (ROM) mission into its implementation strategy. This reflects a commitment to continual learning and course correction.</w:t>
      </w:r>
    </w:p>
    <w:p w14:paraId="141FAC20" w14:textId="77777777" w:rsidR="00EA79BF" w:rsidRPr="008F1B97" w:rsidRDefault="00EA79BF" w:rsidP="00EA79BF">
      <w:pPr>
        <w:jc w:val="both"/>
        <w:rPr>
          <w:b/>
          <w:bCs/>
          <w:color w:val="538135" w:themeColor="accent6" w:themeShade="BF"/>
          <w:sz w:val="22"/>
          <w:szCs w:val="22"/>
          <w:lang w:val="en-GB"/>
        </w:rPr>
      </w:pPr>
    </w:p>
    <w:p w14:paraId="791D6A22" w14:textId="324B88CC" w:rsidR="00D82080" w:rsidRPr="007A5C5F" w:rsidRDefault="00EA79BF" w:rsidP="00EA79BF">
      <w:pPr>
        <w:jc w:val="both"/>
        <w:rPr>
          <w:sz w:val="22"/>
          <w:szCs w:val="22"/>
          <w:lang w:val="en-GB"/>
        </w:rPr>
      </w:pPr>
      <w:r w:rsidRPr="008F1B97">
        <w:rPr>
          <w:b/>
          <w:bCs/>
          <w:i/>
          <w:iCs/>
          <w:color w:val="538135" w:themeColor="accent6" w:themeShade="BF"/>
          <w:sz w:val="22"/>
          <w:szCs w:val="22"/>
          <w:lang w:val="en-GB"/>
        </w:rPr>
        <w:t>Finding 8: Strengthening Monitoring and Evaluation</w:t>
      </w:r>
      <w:r w:rsidRPr="007A5C5F">
        <w:rPr>
          <w:b/>
          <w:bCs/>
          <w:i/>
          <w:iCs/>
          <w:color w:val="538135" w:themeColor="accent6" w:themeShade="BF"/>
          <w:sz w:val="22"/>
          <w:szCs w:val="22"/>
          <w:lang w:val="en-GB"/>
        </w:rPr>
        <w:t>.</w:t>
      </w:r>
      <w:r w:rsidRPr="007A5C5F">
        <w:rPr>
          <w:b/>
          <w:bCs/>
          <w:color w:val="538135" w:themeColor="accent6" w:themeShade="BF"/>
          <w:sz w:val="22"/>
          <w:szCs w:val="22"/>
          <w:lang w:val="en-GB"/>
        </w:rPr>
        <w:t xml:space="preserve"> </w:t>
      </w:r>
      <w:r w:rsidRPr="008F1B97">
        <w:rPr>
          <w:sz w:val="22"/>
          <w:szCs w:val="22"/>
          <w:lang w:val="en-GB"/>
        </w:rPr>
        <w:t xml:space="preserve">The JURE progress monitoring system provides a strong foundation but requires enhancements, including a more comprehensive data collection mechanism, complete </w:t>
      </w:r>
      <w:r w:rsidRPr="007A5C5F">
        <w:rPr>
          <w:sz w:val="22"/>
          <w:szCs w:val="22"/>
          <w:lang w:val="en-GB"/>
        </w:rPr>
        <w:t>Logframe</w:t>
      </w:r>
      <w:r w:rsidRPr="008F1B97">
        <w:rPr>
          <w:sz w:val="22"/>
          <w:szCs w:val="22"/>
          <w:lang w:val="en-GB"/>
        </w:rPr>
        <w:t xml:space="preserve"> baselines, </w:t>
      </w:r>
      <w:r w:rsidR="005D2C5B">
        <w:rPr>
          <w:sz w:val="22"/>
          <w:szCs w:val="22"/>
          <w:lang w:val="en-GB"/>
        </w:rPr>
        <w:t xml:space="preserve">risk management </w:t>
      </w:r>
      <w:r w:rsidRPr="008F1B97">
        <w:rPr>
          <w:sz w:val="22"/>
          <w:szCs w:val="22"/>
          <w:lang w:val="en-GB"/>
        </w:rPr>
        <w:t>and calibrated indicators for results-oriented monitoring.</w:t>
      </w:r>
    </w:p>
    <w:p w14:paraId="0D0E7B63" w14:textId="77777777" w:rsidR="00EA79BF" w:rsidRPr="008F1B97" w:rsidRDefault="00EA79BF" w:rsidP="00EA79BF">
      <w:pPr>
        <w:jc w:val="both"/>
        <w:rPr>
          <w:b/>
          <w:bCs/>
          <w:color w:val="538135" w:themeColor="accent6" w:themeShade="BF"/>
          <w:sz w:val="22"/>
          <w:szCs w:val="22"/>
          <w:lang w:val="en-GB"/>
        </w:rPr>
      </w:pPr>
    </w:p>
    <w:p w14:paraId="410C73F0" w14:textId="45C72A8F" w:rsidR="00EA79BF" w:rsidRPr="008F1B97" w:rsidRDefault="00EA79BF" w:rsidP="00EA79BF">
      <w:pPr>
        <w:jc w:val="both"/>
        <w:rPr>
          <w:b/>
          <w:bCs/>
          <w:color w:val="538135" w:themeColor="accent6" w:themeShade="BF"/>
          <w:sz w:val="22"/>
          <w:szCs w:val="22"/>
          <w:lang w:val="en-GB"/>
        </w:rPr>
      </w:pPr>
      <w:r w:rsidRPr="00C900FD">
        <w:rPr>
          <w:b/>
          <w:bCs/>
          <w:i/>
          <w:iCs/>
          <w:color w:val="538135" w:themeColor="accent6" w:themeShade="BF"/>
          <w:sz w:val="22"/>
          <w:szCs w:val="22"/>
          <w:lang w:val="en-GB"/>
        </w:rPr>
        <w:t>Finding 9: Impact on Juvenile Justice and Child Protection</w:t>
      </w:r>
      <w:r w:rsidRPr="00C900FD">
        <w:rPr>
          <w:b/>
          <w:bCs/>
          <w:color w:val="538135" w:themeColor="accent6" w:themeShade="BF"/>
          <w:sz w:val="22"/>
          <w:szCs w:val="22"/>
          <w:lang w:val="en-GB"/>
        </w:rPr>
        <w:t xml:space="preserve">. </w:t>
      </w:r>
      <w:r w:rsidR="00D82080" w:rsidRPr="00C900FD">
        <w:rPr>
          <w:sz w:val="22"/>
          <w:szCs w:val="22"/>
          <w:lang w:val="en-GB"/>
        </w:rPr>
        <w:t>JURE has played a pivotal role in advancing child-related reforms by strengthening legal</w:t>
      </w:r>
      <w:r w:rsidR="00DB5929">
        <w:rPr>
          <w:sz w:val="22"/>
          <w:szCs w:val="22"/>
          <w:lang w:val="en-GB"/>
        </w:rPr>
        <w:t xml:space="preserve"> </w:t>
      </w:r>
      <w:r w:rsidR="00D82080" w:rsidRPr="00C900FD">
        <w:rPr>
          <w:sz w:val="22"/>
          <w:szCs w:val="22"/>
          <w:lang w:val="en-GB"/>
        </w:rPr>
        <w:t xml:space="preserve">protections, improving justice system coordination, and enhancing rehabilitation pathways. A key achievement is the legal reform, which raised the minimum age of imprisonment, ensuring minors are no longer placed in adult prisons but instead housed in institutions under the Department of Probation and Childcare Services. Improved data systems facilitated the development of standardized case management tools and strengthened decision-making processes in child justice. Beyond legal reforms, JURE has focused on preventing institutionalization and promoting family reunification for child victims of violence, children in conflict with the law, and those in need of care and protection. </w:t>
      </w:r>
    </w:p>
    <w:p w14:paraId="157C2799" w14:textId="77777777" w:rsidR="00D82080" w:rsidRDefault="00D82080" w:rsidP="00EA79BF">
      <w:pPr>
        <w:jc w:val="both"/>
        <w:rPr>
          <w:b/>
          <w:bCs/>
          <w:i/>
          <w:iCs/>
          <w:color w:val="538135" w:themeColor="accent6" w:themeShade="BF"/>
          <w:sz w:val="22"/>
          <w:szCs w:val="22"/>
          <w:lang w:val="en-GB"/>
        </w:rPr>
      </w:pPr>
    </w:p>
    <w:p w14:paraId="63BEDECD" w14:textId="0DB3B969" w:rsidR="002B6C6E" w:rsidRDefault="00EA79BF" w:rsidP="002B6C6E">
      <w:pPr>
        <w:jc w:val="both"/>
        <w:rPr>
          <w:sz w:val="22"/>
          <w:szCs w:val="22"/>
        </w:rPr>
      </w:pPr>
      <w:r w:rsidRPr="008F1B97">
        <w:rPr>
          <w:b/>
          <w:bCs/>
          <w:i/>
          <w:iCs/>
          <w:color w:val="538135" w:themeColor="accent6" w:themeShade="BF"/>
          <w:sz w:val="22"/>
          <w:szCs w:val="22"/>
          <w:lang w:val="en-GB"/>
        </w:rPr>
        <w:t>Finding 10: Contribution to Systemic Justice Reforms</w:t>
      </w:r>
      <w:r w:rsidRPr="007A5C5F">
        <w:rPr>
          <w:b/>
          <w:bCs/>
          <w:color w:val="538135" w:themeColor="accent6" w:themeShade="BF"/>
          <w:sz w:val="22"/>
          <w:szCs w:val="22"/>
          <w:lang w:val="en-GB"/>
        </w:rPr>
        <w:t xml:space="preserve">. </w:t>
      </w:r>
      <w:r w:rsidRPr="008F1B97">
        <w:rPr>
          <w:sz w:val="22"/>
          <w:szCs w:val="22"/>
          <w:lang w:val="en-GB"/>
        </w:rPr>
        <w:t>From January to July 2024, JURE played a crucial role in fostering systemic reforms, modernizing justice institutions, and strengthening institutional capacity to implement these changes effectively.</w:t>
      </w:r>
      <w:r w:rsidR="002B6C6E" w:rsidRPr="002B6C6E">
        <w:rPr>
          <w:i/>
          <w:iCs/>
        </w:rPr>
        <w:t xml:space="preserve"> </w:t>
      </w:r>
      <w:r w:rsidR="002B6C6E" w:rsidRPr="002B6C6E">
        <w:rPr>
          <w:sz w:val="22"/>
          <w:szCs w:val="22"/>
        </w:rPr>
        <w:t>CIABOC reports this period as particularly fruitful, highlighting that legislative reforms have expanded the scope of accountability by addressing corruption within the private sector alongside public institutions</w:t>
      </w:r>
      <w:r w:rsidR="002B6C6E">
        <w:rPr>
          <w:sz w:val="22"/>
          <w:szCs w:val="22"/>
        </w:rPr>
        <w:t xml:space="preserve">, </w:t>
      </w:r>
      <w:r w:rsidR="002B6C6E" w:rsidRPr="002B6C6E">
        <w:rPr>
          <w:sz w:val="22"/>
          <w:szCs w:val="22"/>
        </w:rPr>
        <w:t>growing public trust in CIABOC’s anti-corruption mechanisms</w:t>
      </w:r>
      <w:r w:rsidR="002B6C6E">
        <w:rPr>
          <w:sz w:val="22"/>
          <w:szCs w:val="22"/>
        </w:rPr>
        <w:t>, i</w:t>
      </w:r>
      <w:r w:rsidR="002B6C6E" w:rsidRPr="002B6C6E">
        <w:rPr>
          <w:sz w:val="22"/>
          <w:szCs w:val="22"/>
        </w:rPr>
        <w:t>mproved complaint-handling processes and targeted awareness campaigns, encouraging greater citizen engagement in combating corruption.</w:t>
      </w:r>
    </w:p>
    <w:p w14:paraId="5C8702A6" w14:textId="77777777" w:rsidR="00570CAD" w:rsidRPr="007A5C5F" w:rsidRDefault="00570CAD" w:rsidP="00570CAD">
      <w:pPr>
        <w:jc w:val="both"/>
        <w:rPr>
          <w:sz w:val="22"/>
          <w:szCs w:val="22"/>
          <w:lang w:val="en-GB"/>
        </w:rPr>
      </w:pPr>
      <w:r w:rsidRPr="008F1B97">
        <w:rPr>
          <w:b/>
          <w:bCs/>
          <w:i/>
          <w:iCs/>
          <w:color w:val="538135" w:themeColor="accent6" w:themeShade="BF"/>
          <w:sz w:val="22"/>
          <w:szCs w:val="22"/>
          <w:lang w:val="en-GB"/>
        </w:rPr>
        <w:t>Finding 1</w:t>
      </w:r>
      <w:r>
        <w:rPr>
          <w:b/>
          <w:bCs/>
          <w:i/>
          <w:iCs/>
          <w:color w:val="538135" w:themeColor="accent6" w:themeShade="BF"/>
          <w:sz w:val="22"/>
          <w:szCs w:val="22"/>
          <w:lang w:val="en-GB"/>
        </w:rPr>
        <w:t>1</w:t>
      </w:r>
      <w:r w:rsidRPr="008F1B97">
        <w:rPr>
          <w:b/>
          <w:bCs/>
          <w:i/>
          <w:iCs/>
          <w:color w:val="538135" w:themeColor="accent6" w:themeShade="BF"/>
          <w:sz w:val="22"/>
          <w:szCs w:val="22"/>
          <w:lang w:val="en-GB"/>
        </w:rPr>
        <w:t>: Gender Mainstreaming and Structural Barriers</w:t>
      </w:r>
      <w:r w:rsidRPr="007A5C5F">
        <w:rPr>
          <w:b/>
          <w:bCs/>
          <w:i/>
          <w:iCs/>
          <w:color w:val="538135" w:themeColor="accent6" w:themeShade="BF"/>
          <w:sz w:val="22"/>
          <w:szCs w:val="22"/>
          <w:lang w:val="en-GB"/>
        </w:rPr>
        <w:t>.</w:t>
      </w:r>
      <w:r w:rsidRPr="007A5C5F">
        <w:rPr>
          <w:b/>
          <w:bCs/>
          <w:color w:val="538135" w:themeColor="accent6" w:themeShade="BF"/>
          <w:sz w:val="22"/>
          <w:szCs w:val="22"/>
          <w:lang w:val="en-GB"/>
        </w:rPr>
        <w:t xml:space="preserve"> </w:t>
      </w:r>
      <w:r w:rsidRPr="008F1B97">
        <w:rPr>
          <w:sz w:val="22"/>
          <w:szCs w:val="22"/>
          <w:lang w:val="en-GB"/>
        </w:rPr>
        <w:t>The JURE Gender Action Plan reflects strong progress in gender-sensitive justice reforms, transitioning from initial assessments in 2023 to partial implementation in 2024. However, more efforts are required to address institutional biases, cultural norms, and systemic barriers.</w:t>
      </w:r>
    </w:p>
    <w:p w14:paraId="427D89B9" w14:textId="77777777" w:rsidR="00570CAD" w:rsidRPr="008F1B97" w:rsidRDefault="00570CAD" w:rsidP="00570CAD">
      <w:pPr>
        <w:jc w:val="both"/>
        <w:rPr>
          <w:b/>
          <w:bCs/>
          <w:color w:val="538135" w:themeColor="accent6" w:themeShade="BF"/>
          <w:sz w:val="22"/>
          <w:szCs w:val="22"/>
          <w:lang w:val="en-GB"/>
        </w:rPr>
      </w:pPr>
    </w:p>
    <w:p w14:paraId="65195BDE" w14:textId="77777777" w:rsidR="00570CAD" w:rsidRDefault="00570CAD" w:rsidP="00570CAD">
      <w:pPr>
        <w:jc w:val="both"/>
        <w:rPr>
          <w:sz w:val="22"/>
          <w:szCs w:val="22"/>
          <w:lang w:val="en-GB"/>
        </w:rPr>
      </w:pPr>
      <w:r w:rsidRPr="008F1B97">
        <w:rPr>
          <w:b/>
          <w:bCs/>
          <w:i/>
          <w:iCs/>
          <w:color w:val="538135" w:themeColor="accent6" w:themeShade="BF"/>
          <w:sz w:val="22"/>
          <w:szCs w:val="22"/>
          <w:lang w:val="en-GB"/>
        </w:rPr>
        <w:t>Finding 1</w:t>
      </w:r>
      <w:r>
        <w:rPr>
          <w:b/>
          <w:bCs/>
          <w:i/>
          <w:iCs/>
          <w:color w:val="538135" w:themeColor="accent6" w:themeShade="BF"/>
          <w:sz w:val="22"/>
          <w:szCs w:val="22"/>
          <w:lang w:val="en-GB"/>
        </w:rPr>
        <w:t>2</w:t>
      </w:r>
      <w:r w:rsidRPr="008F1B97">
        <w:rPr>
          <w:b/>
          <w:bCs/>
          <w:i/>
          <w:iCs/>
          <w:color w:val="538135" w:themeColor="accent6" w:themeShade="BF"/>
          <w:sz w:val="22"/>
          <w:szCs w:val="22"/>
          <w:lang w:val="en-GB"/>
        </w:rPr>
        <w:t>: Limitations in the 2024 Work Plan</w:t>
      </w:r>
      <w:r w:rsidRPr="007A5C5F">
        <w:rPr>
          <w:b/>
          <w:bCs/>
          <w:i/>
          <w:iCs/>
          <w:color w:val="538135" w:themeColor="accent6" w:themeShade="BF"/>
          <w:sz w:val="22"/>
          <w:szCs w:val="22"/>
          <w:lang w:val="en-GB"/>
        </w:rPr>
        <w:t xml:space="preserve">. </w:t>
      </w:r>
      <w:r w:rsidRPr="008F1B97">
        <w:rPr>
          <w:sz w:val="22"/>
          <w:szCs w:val="22"/>
          <w:lang w:val="en-GB"/>
        </w:rPr>
        <w:t>The 2024 Work Plan places heavy emphasis on capacity-building without sufficiently addressing structural challenges or ensuring robust accountability mechanisms within justice institutions.</w:t>
      </w:r>
    </w:p>
    <w:p w14:paraId="18E62F70" w14:textId="77777777" w:rsidR="00570CAD" w:rsidRPr="008F1B97" w:rsidRDefault="00570CAD" w:rsidP="00570CAD">
      <w:pPr>
        <w:jc w:val="both"/>
        <w:rPr>
          <w:b/>
          <w:bCs/>
          <w:color w:val="538135" w:themeColor="accent6" w:themeShade="BF"/>
          <w:sz w:val="22"/>
          <w:szCs w:val="22"/>
          <w:lang w:val="en-GB"/>
        </w:rPr>
      </w:pPr>
    </w:p>
    <w:p w14:paraId="51B6A2B8" w14:textId="7D0B5C48" w:rsidR="00570CAD" w:rsidRPr="007A5C5F" w:rsidRDefault="00570CAD" w:rsidP="00570CAD">
      <w:pPr>
        <w:jc w:val="both"/>
        <w:rPr>
          <w:sz w:val="22"/>
          <w:szCs w:val="22"/>
          <w:lang w:val="en-GB"/>
        </w:rPr>
      </w:pPr>
      <w:r w:rsidRPr="008F1B97">
        <w:rPr>
          <w:b/>
          <w:bCs/>
          <w:i/>
          <w:iCs/>
          <w:color w:val="538135" w:themeColor="accent6" w:themeShade="BF"/>
          <w:sz w:val="22"/>
          <w:szCs w:val="22"/>
          <w:lang w:val="en-GB"/>
        </w:rPr>
        <w:t>Finding 1</w:t>
      </w:r>
      <w:r>
        <w:rPr>
          <w:b/>
          <w:bCs/>
          <w:i/>
          <w:iCs/>
          <w:color w:val="538135" w:themeColor="accent6" w:themeShade="BF"/>
          <w:sz w:val="22"/>
          <w:szCs w:val="22"/>
          <w:lang w:val="en-GB"/>
        </w:rPr>
        <w:t>3</w:t>
      </w:r>
      <w:r w:rsidRPr="008F1B97">
        <w:rPr>
          <w:b/>
          <w:bCs/>
          <w:i/>
          <w:iCs/>
          <w:color w:val="538135" w:themeColor="accent6" w:themeShade="BF"/>
          <w:sz w:val="22"/>
          <w:szCs w:val="22"/>
          <w:lang w:val="en-GB"/>
        </w:rPr>
        <w:t>: Gender-Responsive and People-Centred Indicators</w:t>
      </w:r>
      <w:r w:rsidRPr="007A5C5F">
        <w:rPr>
          <w:b/>
          <w:bCs/>
          <w:i/>
          <w:iCs/>
          <w:color w:val="538135" w:themeColor="accent6" w:themeShade="BF"/>
          <w:sz w:val="22"/>
          <w:szCs w:val="22"/>
          <w:lang w:val="en-GB"/>
        </w:rPr>
        <w:t>.</w:t>
      </w:r>
      <w:r w:rsidRPr="007A5C5F">
        <w:rPr>
          <w:b/>
          <w:bCs/>
          <w:color w:val="538135" w:themeColor="accent6" w:themeShade="BF"/>
          <w:sz w:val="22"/>
          <w:szCs w:val="22"/>
          <w:lang w:val="en-GB"/>
        </w:rPr>
        <w:t xml:space="preserve"> </w:t>
      </w:r>
      <w:r w:rsidRPr="008F1B97">
        <w:rPr>
          <w:sz w:val="22"/>
          <w:szCs w:val="22"/>
          <w:lang w:val="en-GB"/>
        </w:rPr>
        <w:t xml:space="preserve">JURE lacks comprehensive gender-responsive indicators, limiting its ability to measure transformative justice outcomes such as restored property rights and access to justice for marginalized </w:t>
      </w:r>
      <w:r w:rsidR="00DB5929" w:rsidRPr="008F1B97">
        <w:rPr>
          <w:sz w:val="22"/>
          <w:szCs w:val="22"/>
          <w:lang w:val="en-GB"/>
        </w:rPr>
        <w:t>communities. Despite</w:t>
      </w:r>
      <w:r w:rsidRPr="008F1B97">
        <w:rPr>
          <w:sz w:val="22"/>
          <w:szCs w:val="22"/>
          <w:lang w:val="en-GB"/>
        </w:rPr>
        <w:t xml:space="preserve"> JURE’s efforts to advance disability rights, systematic data collection on persons with disabilities </w:t>
      </w:r>
      <w:r w:rsidR="005D2C5B">
        <w:rPr>
          <w:sz w:val="22"/>
          <w:szCs w:val="22"/>
          <w:lang w:val="en-GB"/>
        </w:rPr>
        <w:t xml:space="preserve">and other vulnerable groups </w:t>
      </w:r>
      <w:r w:rsidRPr="008F1B97">
        <w:rPr>
          <w:sz w:val="22"/>
          <w:szCs w:val="22"/>
          <w:lang w:val="en-GB"/>
        </w:rPr>
        <w:t>remains inadequate. The absence of structured tracking mechanisms hinders the ability to measure the impact of interventions</w:t>
      </w:r>
      <w:r>
        <w:rPr>
          <w:sz w:val="22"/>
          <w:szCs w:val="22"/>
          <w:lang w:val="en-GB"/>
        </w:rPr>
        <w:t xml:space="preserve"> in this regard</w:t>
      </w:r>
      <w:r w:rsidRPr="008F1B97">
        <w:rPr>
          <w:sz w:val="22"/>
          <w:szCs w:val="22"/>
          <w:lang w:val="en-GB"/>
        </w:rPr>
        <w:t>.</w:t>
      </w:r>
    </w:p>
    <w:p w14:paraId="668D4E2C" w14:textId="77777777" w:rsidR="00570CAD" w:rsidRPr="008F1B97" w:rsidRDefault="00570CAD" w:rsidP="00570CAD">
      <w:pPr>
        <w:jc w:val="both"/>
        <w:rPr>
          <w:b/>
          <w:bCs/>
          <w:color w:val="538135" w:themeColor="accent6" w:themeShade="BF"/>
          <w:sz w:val="22"/>
          <w:szCs w:val="22"/>
          <w:lang w:val="en-GB"/>
        </w:rPr>
      </w:pPr>
    </w:p>
    <w:p w14:paraId="55FCEC50" w14:textId="01D5C62F" w:rsidR="00570CAD" w:rsidRPr="007A5C5F" w:rsidRDefault="00570CAD" w:rsidP="00570CAD">
      <w:pPr>
        <w:jc w:val="both"/>
        <w:rPr>
          <w:sz w:val="22"/>
          <w:szCs w:val="22"/>
          <w:lang w:val="en-GB"/>
        </w:rPr>
      </w:pPr>
      <w:r w:rsidRPr="008F1B97">
        <w:rPr>
          <w:b/>
          <w:bCs/>
          <w:i/>
          <w:iCs/>
          <w:color w:val="538135" w:themeColor="accent6" w:themeShade="BF"/>
          <w:sz w:val="22"/>
          <w:szCs w:val="22"/>
          <w:lang w:val="en-GB"/>
        </w:rPr>
        <w:t>Finding 1</w:t>
      </w:r>
      <w:r>
        <w:rPr>
          <w:b/>
          <w:bCs/>
          <w:i/>
          <w:iCs/>
          <w:color w:val="538135" w:themeColor="accent6" w:themeShade="BF"/>
          <w:sz w:val="22"/>
          <w:szCs w:val="22"/>
          <w:lang w:val="en-GB"/>
        </w:rPr>
        <w:t>4</w:t>
      </w:r>
      <w:r w:rsidRPr="008F1B97">
        <w:rPr>
          <w:b/>
          <w:bCs/>
          <w:i/>
          <w:iCs/>
          <w:color w:val="538135" w:themeColor="accent6" w:themeShade="BF"/>
          <w:sz w:val="22"/>
          <w:szCs w:val="22"/>
          <w:lang w:val="en-GB"/>
        </w:rPr>
        <w:t>: EU’s Strategic Investment and Impact</w:t>
      </w:r>
      <w:r w:rsidRPr="007A5C5F">
        <w:rPr>
          <w:b/>
          <w:bCs/>
          <w:i/>
          <w:iCs/>
          <w:color w:val="538135" w:themeColor="accent6" w:themeShade="BF"/>
          <w:sz w:val="22"/>
          <w:szCs w:val="22"/>
          <w:lang w:val="en-GB"/>
        </w:rPr>
        <w:t>.</w:t>
      </w:r>
      <w:r w:rsidRPr="007A5C5F">
        <w:rPr>
          <w:b/>
          <w:bCs/>
          <w:color w:val="538135" w:themeColor="accent6" w:themeShade="BF"/>
          <w:sz w:val="22"/>
          <w:szCs w:val="22"/>
          <w:lang w:val="en-GB"/>
        </w:rPr>
        <w:t xml:space="preserve"> </w:t>
      </w:r>
      <w:r w:rsidRPr="008F1B97">
        <w:rPr>
          <w:sz w:val="22"/>
          <w:szCs w:val="22"/>
          <w:lang w:val="en-GB"/>
        </w:rPr>
        <w:t xml:space="preserve">The EU’s support for JURE has been instrumental in advancing justice sector reforms. Large-scale investments have contributed to institutional strengthening, policy reforms, and capacity-building for legal </w:t>
      </w:r>
      <w:r w:rsidR="00DB5929" w:rsidRPr="008F1B97">
        <w:rPr>
          <w:sz w:val="22"/>
          <w:szCs w:val="22"/>
          <w:lang w:val="en-GB"/>
        </w:rPr>
        <w:t>professionals. While</w:t>
      </w:r>
      <w:r w:rsidRPr="008F1B97">
        <w:rPr>
          <w:sz w:val="22"/>
          <w:szCs w:val="22"/>
          <w:lang w:val="en-GB"/>
        </w:rPr>
        <w:t xml:space="preserve"> JURE has contributed to legal education through its </w:t>
      </w:r>
      <w:r w:rsidRPr="007A5C5F">
        <w:rPr>
          <w:sz w:val="22"/>
          <w:szCs w:val="22"/>
          <w:lang w:val="en-GB"/>
        </w:rPr>
        <w:t xml:space="preserve">two </w:t>
      </w:r>
      <w:r w:rsidRPr="008F1B97">
        <w:rPr>
          <w:sz w:val="22"/>
          <w:szCs w:val="22"/>
          <w:lang w:val="en-GB"/>
        </w:rPr>
        <w:t>LLM program</w:t>
      </w:r>
      <w:r w:rsidRPr="007A5C5F">
        <w:rPr>
          <w:sz w:val="22"/>
          <w:szCs w:val="22"/>
          <w:lang w:val="en-GB"/>
        </w:rPr>
        <w:t>mes</w:t>
      </w:r>
      <w:r w:rsidRPr="008F1B97">
        <w:rPr>
          <w:sz w:val="22"/>
          <w:szCs w:val="22"/>
          <w:lang w:val="en-GB"/>
        </w:rPr>
        <w:t>, expanding academic partnerships with European institutions would further strengthen the credibility and sustainability of legal training initiatives.</w:t>
      </w:r>
      <w:r w:rsidRPr="00570CAD">
        <w:rPr>
          <w:sz w:val="22"/>
          <w:szCs w:val="22"/>
          <w:lang w:val="en-GB"/>
        </w:rPr>
        <w:t xml:space="preserve"> </w:t>
      </w:r>
      <w:r w:rsidRPr="00570CAD">
        <w:rPr>
          <w:sz w:val="22"/>
          <w:szCs w:val="22"/>
        </w:rPr>
        <w:t xml:space="preserve">Greater integration of </w:t>
      </w:r>
      <w:r w:rsidRPr="00570CAD">
        <w:rPr>
          <w:b/>
          <w:bCs/>
          <w:sz w:val="22"/>
          <w:szCs w:val="22"/>
        </w:rPr>
        <w:t>proven European best practices</w:t>
      </w:r>
      <w:r w:rsidRPr="00570CAD">
        <w:rPr>
          <w:sz w:val="22"/>
          <w:szCs w:val="22"/>
        </w:rPr>
        <w:t xml:space="preserve"> in </w:t>
      </w:r>
      <w:r w:rsidRPr="00570CAD">
        <w:rPr>
          <w:b/>
          <w:bCs/>
          <w:sz w:val="22"/>
          <w:szCs w:val="22"/>
        </w:rPr>
        <w:t>judicial efficiency, case management, and monitoring</w:t>
      </w:r>
      <w:r w:rsidRPr="00570CAD">
        <w:rPr>
          <w:sz w:val="22"/>
          <w:szCs w:val="22"/>
        </w:rPr>
        <w:t xml:space="preserve"> could have strengthened the project’s impact. Closer alignment with </w:t>
      </w:r>
      <w:r w:rsidRPr="00570CAD">
        <w:rPr>
          <w:b/>
          <w:bCs/>
          <w:sz w:val="22"/>
          <w:szCs w:val="22"/>
        </w:rPr>
        <w:t>EU standards</w:t>
      </w:r>
      <w:r w:rsidRPr="00570CAD">
        <w:rPr>
          <w:sz w:val="22"/>
          <w:szCs w:val="22"/>
        </w:rPr>
        <w:t xml:space="preserve"> would not only enhance </w:t>
      </w:r>
      <w:r w:rsidRPr="00570CAD">
        <w:rPr>
          <w:b/>
          <w:bCs/>
          <w:sz w:val="22"/>
          <w:szCs w:val="22"/>
        </w:rPr>
        <w:t>donor visibility</w:t>
      </w:r>
      <w:r w:rsidRPr="00570CAD">
        <w:rPr>
          <w:sz w:val="22"/>
          <w:szCs w:val="22"/>
        </w:rPr>
        <w:t xml:space="preserve"> but also promote </w:t>
      </w:r>
      <w:r w:rsidRPr="00570CAD">
        <w:rPr>
          <w:b/>
          <w:bCs/>
          <w:sz w:val="22"/>
          <w:szCs w:val="22"/>
        </w:rPr>
        <w:t>institutional sustainability</w:t>
      </w:r>
      <w:r w:rsidRPr="00570CAD">
        <w:rPr>
          <w:sz w:val="22"/>
          <w:szCs w:val="22"/>
        </w:rPr>
        <w:t xml:space="preserve"> by fostering long-term cooperation between </w:t>
      </w:r>
      <w:r w:rsidRPr="00570CAD">
        <w:rPr>
          <w:b/>
          <w:bCs/>
          <w:sz w:val="22"/>
          <w:szCs w:val="22"/>
        </w:rPr>
        <w:t>Sri Lankan institutions and EU Member States</w:t>
      </w:r>
      <w:r w:rsidRPr="00570CAD">
        <w:rPr>
          <w:sz w:val="22"/>
          <w:szCs w:val="22"/>
        </w:rPr>
        <w:t>.</w:t>
      </w:r>
    </w:p>
    <w:p w14:paraId="63029C57" w14:textId="77777777" w:rsidR="00570CAD" w:rsidRPr="008F1B97" w:rsidRDefault="00570CAD" w:rsidP="00570CAD">
      <w:pPr>
        <w:jc w:val="both"/>
        <w:rPr>
          <w:b/>
          <w:bCs/>
          <w:color w:val="538135" w:themeColor="accent6" w:themeShade="BF"/>
          <w:sz w:val="22"/>
          <w:szCs w:val="22"/>
          <w:lang w:val="en-GB"/>
        </w:rPr>
      </w:pPr>
    </w:p>
    <w:p w14:paraId="7634A94B" w14:textId="77777777" w:rsidR="00570CAD" w:rsidRPr="007A5C5F" w:rsidRDefault="00570CAD" w:rsidP="00570CAD">
      <w:pPr>
        <w:jc w:val="both"/>
        <w:rPr>
          <w:sz w:val="22"/>
          <w:szCs w:val="22"/>
          <w:lang w:val="en-GB"/>
        </w:rPr>
      </w:pPr>
      <w:r w:rsidRPr="008F1B97">
        <w:rPr>
          <w:b/>
          <w:bCs/>
          <w:i/>
          <w:iCs/>
          <w:color w:val="538135" w:themeColor="accent6" w:themeShade="BF"/>
          <w:sz w:val="22"/>
          <w:szCs w:val="22"/>
          <w:lang w:val="en-GB"/>
        </w:rPr>
        <w:lastRenderedPageBreak/>
        <w:t>Finding 1</w:t>
      </w:r>
      <w:r>
        <w:rPr>
          <w:b/>
          <w:bCs/>
          <w:i/>
          <w:iCs/>
          <w:color w:val="538135" w:themeColor="accent6" w:themeShade="BF"/>
          <w:sz w:val="22"/>
          <w:szCs w:val="22"/>
          <w:lang w:val="en-GB"/>
        </w:rPr>
        <w:t>5</w:t>
      </w:r>
      <w:r w:rsidRPr="008F1B97">
        <w:rPr>
          <w:b/>
          <w:bCs/>
          <w:i/>
          <w:iCs/>
          <w:color w:val="538135" w:themeColor="accent6" w:themeShade="BF"/>
          <w:sz w:val="22"/>
          <w:szCs w:val="22"/>
          <w:lang w:val="en-GB"/>
        </w:rPr>
        <w:t>: Gaps in Justice Reform Sustainability Measures</w:t>
      </w:r>
      <w:r w:rsidRPr="007A5C5F">
        <w:rPr>
          <w:b/>
          <w:bCs/>
          <w:color w:val="538135" w:themeColor="accent6" w:themeShade="BF"/>
          <w:sz w:val="22"/>
          <w:szCs w:val="22"/>
          <w:lang w:val="en-GB"/>
        </w:rPr>
        <w:t xml:space="preserve">. </w:t>
      </w:r>
      <w:r w:rsidRPr="008F1B97">
        <w:rPr>
          <w:sz w:val="22"/>
          <w:szCs w:val="22"/>
          <w:lang w:val="en-GB"/>
        </w:rPr>
        <w:t>JURE has successfully laid the groundwork for justice reforms, but a more structured exit strategy, including government buy-in and financial commitments, is required to ensure sustainability beyond the project’s duratio</w:t>
      </w:r>
      <w:r w:rsidRPr="007A5C5F">
        <w:rPr>
          <w:sz w:val="22"/>
          <w:szCs w:val="22"/>
          <w:lang w:val="en-GB"/>
        </w:rPr>
        <w:t>n.</w:t>
      </w:r>
    </w:p>
    <w:p w14:paraId="36052D5C" w14:textId="77777777" w:rsidR="00EA79BF" w:rsidRPr="008F1B97" w:rsidRDefault="00EA79BF" w:rsidP="00EA79BF">
      <w:pPr>
        <w:jc w:val="both"/>
        <w:rPr>
          <w:b/>
          <w:bCs/>
          <w:sz w:val="22"/>
          <w:szCs w:val="22"/>
          <w:lang w:val="en-GB"/>
        </w:rPr>
      </w:pPr>
    </w:p>
    <w:p w14:paraId="1C9E3603" w14:textId="77777777" w:rsidR="00EA79BF" w:rsidRPr="007A5C5F" w:rsidRDefault="00EA79BF" w:rsidP="00EA79BF">
      <w:pPr>
        <w:pStyle w:val="Heading2"/>
        <w:jc w:val="center"/>
        <w:rPr>
          <w:lang w:val="en-GB"/>
        </w:rPr>
      </w:pPr>
      <w:bookmarkStart w:id="6" w:name="_Toc188348248"/>
      <w:r w:rsidRPr="007A5C5F">
        <w:rPr>
          <w:lang w:val="en-GB"/>
        </w:rPr>
        <w:t>Summary of Conclusions</w:t>
      </w:r>
      <w:bookmarkEnd w:id="6"/>
    </w:p>
    <w:p w14:paraId="7C8AD499" w14:textId="77777777" w:rsidR="00EA79BF" w:rsidRPr="001277A7" w:rsidRDefault="00EA79BF" w:rsidP="00EA79BF">
      <w:pPr>
        <w:rPr>
          <w:lang w:val="en-GB"/>
        </w:rPr>
      </w:pPr>
    </w:p>
    <w:p w14:paraId="750AE4AB" w14:textId="77777777" w:rsidR="00EA79BF" w:rsidRPr="001277A7" w:rsidRDefault="00EA79BF" w:rsidP="00EA79BF">
      <w:pPr>
        <w:numPr>
          <w:ilvl w:val="0"/>
          <w:numId w:val="269"/>
        </w:numPr>
        <w:tabs>
          <w:tab w:val="num" w:pos="720"/>
        </w:tabs>
        <w:jc w:val="both"/>
        <w:rPr>
          <w:sz w:val="22"/>
          <w:szCs w:val="22"/>
          <w:lang w:val="en-GB"/>
        </w:rPr>
      </w:pPr>
      <w:r w:rsidRPr="001277A7">
        <w:rPr>
          <w:b/>
          <w:bCs/>
          <w:sz w:val="22"/>
          <w:szCs w:val="22"/>
          <w:lang w:val="en-GB"/>
        </w:rPr>
        <w:t>Relevance</w:t>
      </w:r>
      <w:r w:rsidRPr="001277A7">
        <w:rPr>
          <w:sz w:val="22"/>
          <w:szCs w:val="22"/>
          <w:lang w:val="en-GB"/>
        </w:rPr>
        <w:t xml:space="preserve"> – The JURE Project remains highly relevant to national and global development priorities, addressing critical justice sector gaps such as inadequate access to legal aid, weak institutional capacity, and the need for judicial modernization. The project aligns with SDG 16.3 and the New European Consensus on Development (2017). However, the expansion from six to eleven outputs created operational challenges, limiting the depth of some interventions. Additionally, the exclusion of environmental justice from the 2024 Work Plan represents a significant gap, considering its prior contributions to climate change law and governance.</w:t>
      </w:r>
    </w:p>
    <w:p w14:paraId="3DF37453" w14:textId="13E814FF" w:rsidR="00EA79BF" w:rsidRPr="00D24919" w:rsidRDefault="00EA79BF" w:rsidP="000D43B8">
      <w:pPr>
        <w:numPr>
          <w:ilvl w:val="0"/>
          <w:numId w:val="269"/>
        </w:numPr>
        <w:tabs>
          <w:tab w:val="num" w:pos="720"/>
        </w:tabs>
        <w:jc w:val="both"/>
      </w:pPr>
      <w:r w:rsidRPr="001277A7">
        <w:rPr>
          <w:b/>
          <w:bCs/>
          <w:sz w:val="22"/>
          <w:szCs w:val="22"/>
          <w:lang w:val="en-GB"/>
        </w:rPr>
        <w:t>Coherence</w:t>
      </w:r>
      <w:r w:rsidRPr="001277A7">
        <w:rPr>
          <w:sz w:val="22"/>
          <w:szCs w:val="22"/>
          <w:lang w:val="en-GB"/>
        </w:rPr>
        <w:t xml:space="preserve"> – JURE has demonstrated strong internal coherence within UNDP’s SDG 16 portfolio, aligning with governance and access to justice reforms.</w:t>
      </w:r>
      <w:r w:rsidR="001E0D0E" w:rsidRPr="00D24919">
        <w:rPr>
          <w:sz w:val="22"/>
          <w:szCs w:val="22"/>
          <w:lang w:val="en-GB"/>
        </w:rPr>
        <w:t xml:space="preserve"> However, synergies with </w:t>
      </w:r>
      <w:r w:rsidR="000D43B8" w:rsidRPr="00D24919">
        <w:rPr>
          <w:sz w:val="22"/>
          <w:szCs w:val="22"/>
          <w:lang w:val="en-GB"/>
        </w:rPr>
        <w:t xml:space="preserve">the activities within the Green Development (Outcome 2) and Inclusive Governance, Justice, Peace, and Social Cohesion (Outcome 1) under Sri Lanka’s UNDP CPD (2023–2027) </w:t>
      </w:r>
      <w:r w:rsidR="00C63A0D" w:rsidRPr="00D24919">
        <w:rPr>
          <w:sz w:val="22"/>
          <w:szCs w:val="22"/>
          <w:lang w:val="en-GB"/>
        </w:rPr>
        <w:t>could</w:t>
      </w:r>
      <w:r w:rsidR="000D43B8" w:rsidRPr="00D24919">
        <w:rPr>
          <w:sz w:val="22"/>
          <w:szCs w:val="22"/>
          <w:lang w:val="en-GB"/>
        </w:rPr>
        <w:t xml:space="preserve"> be strengthened for better </w:t>
      </w:r>
      <w:r w:rsidR="001E0D0E" w:rsidRPr="00D24919">
        <w:rPr>
          <w:sz w:val="22"/>
          <w:szCs w:val="22"/>
          <w:lang w:val="en-GB"/>
        </w:rPr>
        <w:t xml:space="preserve">economic resilience, </w:t>
      </w:r>
      <w:r w:rsidR="000D43B8">
        <w:rPr>
          <w:sz w:val="22"/>
          <w:szCs w:val="22"/>
          <w:lang w:val="en-GB"/>
        </w:rPr>
        <w:t xml:space="preserve">comprehensive </w:t>
      </w:r>
      <w:r w:rsidR="001E0D0E" w:rsidRPr="00D24919">
        <w:rPr>
          <w:sz w:val="22"/>
          <w:szCs w:val="22"/>
          <w:lang w:val="en-GB"/>
        </w:rPr>
        <w:t>digital transformation, and the coherent integration of JURE’s environmental justice initiatives</w:t>
      </w:r>
      <w:r w:rsidRPr="001277A7">
        <w:rPr>
          <w:sz w:val="22"/>
          <w:szCs w:val="22"/>
          <w:lang w:val="en-GB"/>
        </w:rPr>
        <w:t>. Externally, donor coordination remains fragmented, with overlapping initiatives by USAID, KOICA, JICA, and UNODC. The lack of a structured coordination mechanism increases the risk of duplication and missed opportunities for joint programming and resource optimization.</w:t>
      </w:r>
    </w:p>
    <w:p w14:paraId="3FC265E6" w14:textId="5FE142CB" w:rsidR="00EA79BF" w:rsidRPr="001277A7" w:rsidRDefault="00EA79BF" w:rsidP="00EA79BF">
      <w:pPr>
        <w:numPr>
          <w:ilvl w:val="0"/>
          <w:numId w:val="269"/>
        </w:numPr>
        <w:tabs>
          <w:tab w:val="num" w:pos="720"/>
        </w:tabs>
        <w:jc w:val="both"/>
        <w:rPr>
          <w:sz w:val="22"/>
          <w:szCs w:val="22"/>
          <w:lang w:val="en-GB"/>
        </w:rPr>
      </w:pPr>
      <w:r w:rsidRPr="001277A7">
        <w:rPr>
          <w:b/>
          <w:bCs/>
          <w:sz w:val="22"/>
          <w:szCs w:val="22"/>
          <w:lang w:val="en-GB"/>
        </w:rPr>
        <w:t>Efficiency</w:t>
      </w:r>
      <w:r w:rsidRPr="001277A7">
        <w:rPr>
          <w:sz w:val="22"/>
          <w:szCs w:val="22"/>
          <w:lang w:val="en-GB"/>
        </w:rPr>
        <w:t xml:space="preserve"> – While JURE has effectively allocated resources in key areas such as legal aid services, judicial training, and anti-corruption measures, financial management inefficiencies remain a concern. Delays in fund disbursement </w:t>
      </w:r>
      <w:r w:rsidR="00393438" w:rsidRPr="00393438">
        <w:rPr>
          <w:sz w:val="22"/>
          <w:szCs w:val="22"/>
        </w:rPr>
        <w:t>to JURE and subsequent distribution across implementation sites have hindered progress</w:t>
      </w:r>
      <w:r w:rsidRPr="001277A7">
        <w:rPr>
          <w:sz w:val="22"/>
          <w:szCs w:val="22"/>
          <w:lang w:val="en-GB"/>
        </w:rPr>
        <w:t xml:space="preserve">, leaving a significant portion of the budget unutilized. The financial execution rate of </w:t>
      </w:r>
      <w:r w:rsidR="006C5CC9">
        <w:rPr>
          <w:sz w:val="22"/>
          <w:szCs w:val="22"/>
          <w:lang w:val="en-GB"/>
        </w:rPr>
        <w:t>82</w:t>
      </w:r>
      <w:r w:rsidRPr="001277A7">
        <w:rPr>
          <w:sz w:val="22"/>
          <w:szCs w:val="22"/>
          <w:lang w:val="en-GB"/>
        </w:rPr>
        <w:t xml:space="preserve">% as of </w:t>
      </w:r>
      <w:r w:rsidR="00570CAD">
        <w:rPr>
          <w:sz w:val="22"/>
          <w:szCs w:val="22"/>
          <w:lang w:val="en-GB"/>
        </w:rPr>
        <w:t>June</w:t>
      </w:r>
      <w:r w:rsidRPr="001277A7">
        <w:rPr>
          <w:sz w:val="22"/>
          <w:szCs w:val="22"/>
          <w:lang w:val="en-GB"/>
        </w:rPr>
        <w:t xml:space="preserve"> 2024 reflects this challenge. Additionally, disparities in expenditure rates across components highlight the need for improved budget oversight and adaptive financial planning.</w:t>
      </w:r>
    </w:p>
    <w:p w14:paraId="1FCC08EA" w14:textId="77777777" w:rsidR="00EA79BF" w:rsidRPr="001277A7" w:rsidRDefault="00EA79BF" w:rsidP="00EA79BF">
      <w:pPr>
        <w:numPr>
          <w:ilvl w:val="0"/>
          <w:numId w:val="269"/>
        </w:numPr>
        <w:tabs>
          <w:tab w:val="num" w:pos="720"/>
        </w:tabs>
        <w:jc w:val="both"/>
        <w:rPr>
          <w:sz w:val="22"/>
          <w:szCs w:val="22"/>
          <w:lang w:val="en-GB"/>
        </w:rPr>
      </w:pPr>
      <w:r w:rsidRPr="001277A7">
        <w:rPr>
          <w:b/>
          <w:bCs/>
          <w:sz w:val="22"/>
          <w:szCs w:val="22"/>
          <w:lang w:val="en-GB"/>
        </w:rPr>
        <w:t>Effectiveness</w:t>
      </w:r>
      <w:r w:rsidRPr="001277A7">
        <w:rPr>
          <w:sz w:val="22"/>
          <w:szCs w:val="22"/>
          <w:lang w:val="en-GB"/>
        </w:rPr>
        <w:t xml:space="preserve"> – JURE has contributed to significant justice sector improvements, including providing legal aid to over 5,795 individuals, strengthening juvenile justice mechanisms, and facilitating institutional reforms such as the adoption of the Anti-Corruption Act 2023. However, sustainability remains an issue, as many reforms have yet to be fully institutionalized. Digital transformation efforts have also faced setbacks due to inadequate assessments of digital divides and accessibility barriers, limiting their reach among marginalized communities.</w:t>
      </w:r>
    </w:p>
    <w:p w14:paraId="717EC31C" w14:textId="344D87D6" w:rsidR="00EA79BF" w:rsidRPr="001277A7" w:rsidRDefault="00EA79BF" w:rsidP="00EA79BF">
      <w:pPr>
        <w:numPr>
          <w:ilvl w:val="0"/>
          <w:numId w:val="269"/>
        </w:numPr>
        <w:tabs>
          <w:tab w:val="num" w:pos="720"/>
        </w:tabs>
        <w:jc w:val="both"/>
        <w:rPr>
          <w:sz w:val="22"/>
          <w:szCs w:val="22"/>
          <w:lang w:val="en-GB"/>
        </w:rPr>
      </w:pPr>
      <w:r w:rsidRPr="001277A7">
        <w:rPr>
          <w:b/>
          <w:bCs/>
          <w:sz w:val="22"/>
          <w:szCs w:val="22"/>
          <w:lang w:val="en-GB"/>
        </w:rPr>
        <w:t>Impact</w:t>
      </w:r>
      <w:r w:rsidRPr="001277A7">
        <w:rPr>
          <w:sz w:val="22"/>
          <w:szCs w:val="22"/>
          <w:lang w:val="en-GB"/>
        </w:rPr>
        <w:t xml:space="preserve"> – JURE’s systemic contributions include judicial capacity-building, legislative reforms, and improved access to justice for vulnerable populations. The project has played a critical role in </w:t>
      </w:r>
      <w:r w:rsidR="006C5CC9" w:rsidRPr="00C900FD">
        <w:rPr>
          <w:sz w:val="22"/>
          <w:szCs w:val="22"/>
          <w:lang w:val="en-GB"/>
        </w:rPr>
        <w:t>the modernization of existing court room to provide facilities for children to give evidence without facing the alleged perpetrator</w:t>
      </w:r>
      <w:r w:rsidR="006C5CC9" w:rsidRPr="001277A7">
        <w:rPr>
          <w:sz w:val="22"/>
          <w:szCs w:val="22"/>
          <w:lang w:val="en-GB"/>
        </w:rPr>
        <w:t xml:space="preserve"> </w:t>
      </w:r>
      <w:r w:rsidRPr="001277A7">
        <w:rPr>
          <w:sz w:val="22"/>
          <w:szCs w:val="22"/>
          <w:lang w:val="en-GB"/>
        </w:rPr>
        <w:t xml:space="preserve">courtrooms for juvenile justice and virtual rooms for GBV victims and witnesses. However, long-term impact is contingent on continued investment, particularly in reinforcing </w:t>
      </w:r>
      <w:r w:rsidR="006C5CC9" w:rsidRPr="00C900FD">
        <w:rPr>
          <w:sz w:val="22"/>
          <w:szCs w:val="22"/>
          <w:lang w:val="en-GB"/>
        </w:rPr>
        <w:t>mediation and diversion-like measures instead</w:t>
      </w:r>
      <w:r w:rsidR="006C5CC9" w:rsidRPr="001277A7">
        <w:rPr>
          <w:sz w:val="22"/>
          <w:szCs w:val="22"/>
          <w:lang w:val="en-GB"/>
        </w:rPr>
        <w:t xml:space="preserve"> </w:t>
      </w:r>
      <w:r w:rsidRPr="001277A7">
        <w:rPr>
          <w:sz w:val="22"/>
          <w:szCs w:val="22"/>
          <w:lang w:val="en-GB"/>
        </w:rPr>
        <w:t>for juvenile offenders, institutionalizing rehabilitative justice approaches, and strengthening cross-sectoral legal frameworks to ensure consistency in application.</w:t>
      </w:r>
    </w:p>
    <w:p w14:paraId="270FFBAA" w14:textId="1D60EE7E" w:rsidR="00EA79BF" w:rsidRPr="001277A7" w:rsidRDefault="00EA79BF" w:rsidP="00EA79BF">
      <w:pPr>
        <w:numPr>
          <w:ilvl w:val="0"/>
          <w:numId w:val="269"/>
        </w:numPr>
        <w:tabs>
          <w:tab w:val="num" w:pos="720"/>
        </w:tabs>
        <w:jc w:val="both"/>
        <w:rPr>
          <w:sz w:val="22"/>
          <w:szCs w:val="22"/>
          <w:lang w:val="en-GB"/>
        </w:rPr>
      </w:pPr>
      <w:r w:rsidRPr="001277A7">
        <w:rPr>
          <w:b/>
          <w:bCs/>
          <w:sz w:val="22"/>
          <w:szCs w:val="22"/>
          <w:lang w:val="en-GB"/>
        </w:rPr>
        <w:t>Sustainability</w:t>
      </w:r>
      <w:r w:rsidRPr="001277A7">
        <w:rPr>
          <w:sz w:val="22"/>
          <w:szCs w:val="22"/>
          <w:lang w:val="en-GB"/>
        </w:rPr>
        <w:t xml:space="preserve"> –</w:t>
      </w:r>
      <w:r w:rsidR="00393438" w:rsidRPr="00393438">
        <w:rPr>
          <w:sz w:val="22"/>
          <w:szCs w:val="22"/>
        </w:rPr>
        <w:t>Following the recommendations of the EU-commissioned Results-Oriented Monitoring in April 2024</w:t>
      </w:r>
      <w:r w:rsidR="00DB5929">
        <w:rPr>
          <w:sz w:val="22"/>
          <w:szCs w:val="22"/>
        </w:rPr>
        <w:t xml:space="preserve"> and i</w:t>
      </w:r>
      <w:r w:rsidR="00DB5929" w:rsidRPr="00DB5929">
        <w:rPr>
          <w:sz w:val="22"/>
          <w:szCs w:val="22"/>
        </w:rPr>
        <w:t xml:space="preserve">n line with </w:t>
      </w:r>
      <w:r w:rsidR="00DB5929" w:rsidRPr="00C900FD">
        <w:rPr>
          <w:sz w:val="22"/>
          <w:szCs w:val="22"/>
        </w:rPr>
        <w:t>EU</w:t>
      </w:r>
      <w:r w:rsidR="00DB5929">
        <w:rPr>
          <w:sz w:val="22"/>
          <w:szCs w:val="22"/>
        </w:rPr>
        <w:t xml:space="preserve">, </w:t>
      </w:r>
      <w:r w:rsidR="00DB5929" w:rsidRPr="00C900FD">
        <w:rPr>
          <w:sz w:val="22"/>
          <w:szCs w:val="22"/>
        </w:rPr>
        <w:t>MOJ directives</w:t>
      </w:r>
      <w:r w:rsidR="00DB5929" w:rsidRPr="00DB5929">
        <w:rPr>
          <w:sz w:val="22"/>
          <w:szCs w:val="22"/>
        </w:rPr>
        <w:t xml:space="preserve"> and </w:t>
      </w:r>
      <w:r w:rsidR="00DB5929" w:rsidRPr="00C900FD">
        <w:rPr>
          <w:sz w:val="22"/>
          <w:szCs w:val="22"/>
        </w:rPr>
        <w:t>IMF recommendations</w:t>
      </w:r>
      <w:r w:rsidR="00DB5929" w:rsidRPr="00DB5929">
        <w:rPr>
          <w:sz w:val="22"/>
          <w:szCs w:val="22"/>
        </w:rPr>
        <w:t xml:space="preserve">, support that could not be sustained by the </w:t>
      </w:r>
      <w:r w:rsidR="00DB5929">
        <w:rPr>
          <w:sz w:val="22"/>
          <w:szCs w:val="22"/>
        </w:rPr>
        <w:t>national partners</w:t>
      </w:r>
      <w:r w:rsidR="00DB5929" w:rsidRPr="00DB5929">
        <w:rPr>
          <w:sz w:val="22"/>
          <w:szCs w:val="22"/>
        </w:rPr>
        <w:t xml:space="preserve"> was phased out</w:t>
      </w:r>
      <w:r w:rsidR="00DB5929">
        <w:rPr>
          <w:sz w:val="22"/>
          <w:szCs w:val="22"/>
        </w:rPr>
        <w:t xml:space="preserve">. To this end, </w:t>
      </w:r>
      <w:r w:rsidR="00393438">
        <w:rPr>
          <w:sz w:val="22"/>
          <w:szCs w:val="22"/>
        </w:rPr>
        <w:t xml:space="preserve">some of the </w:t>
      </w:r>
      <w:r w:rsidR="00393438" w:rsidRPr="00393438">
        <w:rPr>
          <w:sz w:val="22"/>
          <w:szCs w:val="22"/>
        </w:rPr>
        <w:t>project funds were reallocated, leading to the cessation of financing for staff procurement in governmental institutions</w:t>
      </w:r>
      <w:r w:rsidR="00393438">
        <w:rPr>
          <w:sz w:val="22"/>
          <w:szCs w:val="22"/>
        </w:rPr>
        <w:t xml:space="preserve"> and internes/</w:t>
      </w:r>
      <w:r w:rsidR="00EC57B7">
        <w:rPr>
          <w:sz w:val="22"/>
          <w:szCs w:val="22"/>
        </w:rPr>
        <w:t>volunteers</w:t>
      </w:r>
      <w:r w:rsidR="00393438" w:rsidRPr="00393438">
        <w:rPr>
          <w:sz w:val="22"/>
          <w:szCs w:val="22"/>
        </w:rPr>
        <w:t>.</w:t>
      </w:r>
      <w:r w:rsidR="00393438" w:rsidRPr="00393438">
        <w:t xml:space="preserve"> </w:t>
      </w:r>
      <w:r w:rsidR="00393438" w:rsidRPr="00393438">
        <w:rPr>
          <w:sz w:val="22"/>
          <w:szCs w:val="22"/>
        </w:rPr>
        <w:t xml:space="preserve">This reallocation was necessary to redirect funds toward addressing the needs of </w:t>
      </w:r>
      <w:r w:rsidR="00393438" w:rsidRPr="00C900FD">
        <w:rPr>
          <w:sz w:val="22"/>
          <w:szCs w:val="22"/>
        </w:rPr>
        <w:t>rights holders</w:t>
      </w:r>
      <w:r w:rsidR="00393438" w:rsidRPr="00393438">
        <w:rPr>
          <w:sz w:val="22"/>
          <w:szCs w:val="22"/>
        </w:rPr>
        <w:t xml:space="preserve"> and aligning with the project's goals.</w:t>
      </w:r>
      <w:r w:rsidR="00393438">
        <w:rPr>
          <w:sz w:val="22"/>
          <w:szCs w:val="22"/>
        </w:rPr>
        <w:t xml:space="preserve"> However, </w:t>
      </w:r>
      <w:r w:rsidR="00393438">
        <w:rPr>
          <w:sz w:val="22"/>
          <w:szCs w:val="22"/>
          <w:lang w:val="en-GB"/>
        </w:rPr>
        <w:t>t</w:t>
      </w:r>
      <w:r w:rsidR="00393438" w:rsidRPr="001277A7">
        <w:rPr>
          <w:sz w:val="22"/>
          <w:szCs w:val="22"/>
          <w:lang w:val="en-GB"/>
        </w:rPr>
        <w:t xml:space="preserve">he sudden cancellation of critical activities such as policy research, training programs, and capacity-building initiatives has created sustainability risks. </w:t>
      </w:r>
      <w:r w:rsidRPr="001277A7">
        <w:rPr>
          <w:sz w:val="22"/>
          <w:szCs w:val="22"/>
          <w:lang w:val="en-GB"/>
        </w:rPr>
        <w:t>The lack of an explicit exit strategy increases the likelihood that some gains may be reversed once project funding ends. To ensure sustainability, it is essential to embed project achievements within national frameworks, secure financial commitments from the government, and establish institutional mechanisms to maintain reforms beyond JURE’s duration.</w:t>
      </w:r>
    </w:p>
    <w:p w14:paraId="2B367137" w14:textId="78DB8642" w:rsidR="00EA79BF" w:rsidRPr="001277A7" w:rsidRDefault="00EA79BF" w:rsidP="00EA79BF">
      <w:pPr>
        <w:numPr>
          <w:ilvl w:val="0"/>
          <w:numId w:val="269"/>
        </w:numPr>
        <w:tabs>
          <w:tab w:val="num" w:pos="720"/>
        </w:tabs>
        <w:jc w:val="both"/>
        <w:rPr>
          <w:sz w:val="22"/>
          <w:szCs w:val="22"/>
          <w:lang w:val="en-GB"/>
        </w:rPr>
      </w:pPr>
      <w:r w:rsidRPr="001277A7">
        <w:rPr>
          <w:b/>
          <w:bCs/>
          <w:sz w:val="22"/>
          <w:szCs w:val="22"/>
          <w:lang w:val="en-GB"/>
        </w:rPr>
        <w:t>Human Rights, Gender Equality, and Inclusion</w:t>
      </w:r>
      <w:r w:rsidRPr="001277A7">
        <w:rPr>
          <w:sz w:val="22"/>
          <w:szCs w:val="22"/>
          <w:lang w:val="en-GB"/>
        </w:rPr>
        <w:t xml:space="preserve"> – JURE has advanced gender-responsive justice through its Gender Action Plan, infrastructure improvements, and legal reforms addressing gender-based </w:t>
      </w:r>
      <w:r w:rsidRPr="001277A7">
        <w:rPr>
          <w:sz w:val="22"/>
          <w:szCs w:val="22"/>
          <w:lang w:val="en-GB"/>
        </w:rPr>
        <w:lastRenderedPageBreak/>
        <w:t xml:space="preserve">violence. However, cultural norms, institutional biases, and limited economic empowerment initiatives continue to hinder women’s access to justice. Furthermore, gaps in disaggregated data collection have impeded efforts to track and measure justice outcomes for women, children, </w:t>
      </w:r>
      <w:r w:rsidR="005D2C5B">
        <w:rPr>
          <w:sz w:val="22"/>
          <w:szCs w:val="22"/>
          <w:lang w:val="en-GB"/>
        </w:rPr>
        <w:t xml:space="preserve">minorities </w:t>
      </w:r>
      <w:r w:rsidRPr="001277A7">
        <w:rPr>
          <w:sz w:val="22"/>
          <w:szCs w:val="22"/>
          <w:lang w:val="en-GB"/>
        </w:rPr>
        <w:t>and persons with disabilities, necessitating stronger accountability measures and inclusive monitoring frameworks.</w:t>
      </w:r>
    </w:p>
    <w:p w14:paraId="62A21741" w14:textId="6ECB8FC5" w:rsidR="00EA79BF" w:rsidRPr="007A5C5F" w:rsidRDefault="005D2C5B" w:rsidP="005D2C5B">
      <w:pPr>
        <w:numPr>
          <w:ilvl w:val="0"/>
          <w:numId w:val="269"/>
        </w:numPr>
        <w:tabs>
          <w:tab w:val="num" w:pos="720"/>
        </w:tabs>
        <w:jc w:val="both"/>
        <w:rPr>
          <w:sz w:val="22"/>
          <w:szCs w:val="22"/>
          <w:lang w:val="en-GB"/>
        </w:rPr>
      </w:pPr>
      <w:r w:rsidRPr="005D2C5B">
        <w:rPr>
          <w:b/>
        </w:rPr>
        <w:t>EU-Added Value</w:t>
      </w:r>
      <w:r w:rsidRPr="005D2C5B">
        <w:rPr>
          <w:lang w:val="en-GB"/>
        </w:rPr>
        <w:t xml:space="preserve"> – </w:t>
      </w:r>
      <w:r w:rsidRPr="005D2C5B">
        <w:rPr>
          <w:sz w:val="22"/>
          <w:szCs w:val="22"/>
          <w:lang w:val="en-GB"/>
        </w:rPr>
        <w:t>The European Union's involvement in the transformation of Sri Lanka's justice sector is demonstrated through its consistent contributions to legislative development, institutional capacity-building, and specialized legal education. Notably, this includes the establishment of South Asia's first LLM program in Environmental and Climate Change Law.</w:t>
      </w:r>
      <w:r w:rsidR="00EA79BF" w:rsidRPr="001277A7">
        <w:rPr>
          <w:sz w:val="22"/>
          <w:szCs w:val="22"/>
          <w:lang w:val="en-GB"/>
        </w:rPr>
        <w:t xml:space="preserve"> However, JURE has not fully integrated EU best practices in areas such as judicial efficiency, case flow management, and court performance monitoring. Enhancing collaboration with European institutions and incorporating </w:t>
      </w:r>
      <w:r w:rsidRPr="005D2C5B">
        <w:rPr>
          <w:sz w:val="22"/>
          <w:szCs w:val="22"/>
          <w:lang w:val="en-GB"/>
        </w:rPr>
        <w:t xml:space="preserve">European Commission for the Efficiency of Justice (CEPEJ) </w:t>
      </w:r>
      <w:r w:rsidR="00EA79BF" w:rsidRPr="005D2C5B">
        <w:rPr>
          <w:sz w:val="22"/>
          <w:szCs w:val="22"/>
          <w:lang w:val="en-GB"/>
        </w:rPr>
        <w:t>methodolo</w:t>
      </w:r>
      <w:r w:rsidR="00EA79BF" w:rsidRPr="001277A7">
        <w:rPr>
          <w:sz w:val="22"/>
          <w:szCs w:val="22"/>
          <w:lang w:val="en-GB"/>
        </w:rPr>
        <w:t>gies could further strengthen JURE’s sustainability and impact.</w:t>
      </w:r>
    </w:p>
    <w:tbl>
      <w:tblPr>
        <w:tblStyle w:val="GridTable4-Accent2"/>
        <w:tblpPr w:leftFromText="180" w:rightFromText="180" w:vertAnchor="text" w:horzAnchor="margin" w:tblpY="1376"/>
        <w:tblW w:w="0" w:type="auto"/>
        <w:tblLook w:val="04A0" w:firstRow="1" w:lastRow="0" w:firstColumn="1" w:lastColumn="0" w:noHBand="0" w:noVBand="1"/>
      </w:tblPr>
      <w:tblGrid>
        <w:gridCol w:w="392"/>
        <w:gridCol w:w="3402"/>
        <w:gridCol w:w="2864"/>
        <w:gridCol w:w="962"/>
        <w:gridCol w:w="1728"/>
      </w:tblGrid>
      <w:tr w:rsidR="00EA79BF" w:rsidRPr="007A5C5F" w14:paraId="7F0164CB" w14:textId="77777777" w:rsidTr="00EE71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 w:type="dxa"/>
          </w:tcPr>
          <w:p w14:paraId="7F63155E" w14:textId="77777777" w:rsidR="00EA79BF" w:rsidRPr="007A5C5F" w:rsidRDefault="00EA79BF" w:rsidP="00EE71C7">
            <w:pPr>
              <w:rPr>
                <w:sz w:val="22"/>
                <w:szCs w:val="22"/>
                <w:lang w:val="en-GB"/>
              </w:rPr>
            </w:pPr>
            <w:r w:rsidRPr="007A5C5F">
              <w:rPr>
                <w:sz w:val="22"/>
                <w:szCs w:val="22"/>
                <w:lang w:val="en-GB"/>
              </w:rPr>
              <w:t>#</w:t>
            </w:r>
          </w:p>
        </w:tc>
        <w:tc>
          <w:tcPr>
            <w:tcW w:w="3402" w:type="dxa"/>
          </w:tcPr>
          <w:p w14:paraId="1737A18D" w14:textId="77777777" w:rsidR="00EA79BF" w:rsidRPr="007A5C5F" w:rsidRDefault="00EA79BF" w:rsidP="00EE71C7">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Recommendation</w:t>
            </w:r>
          </w:p>
        </w:tc>
        <w:tc>
          <w:tcPr>
            <w:tcW w:w="2864" w:type="dxa"/>
          </w:tcPr>
          <w:p w14:paraId="4C3D4F00" w14:textId="77777777" w:rsidR="00EA79BF" w:rsidRPr="007A5C5F" w:rsidRDefault="00EA79BF" w:rsidP="00EE71C7">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Responsible Entities</w:t>
            </w:r>
          </w:p>
        </w:tc>
        <w:tc>
          <w:tcPr>
            <w:tcW w:w="962" w:type="dxa"/>
          </w:tcPr>
          <w:p w14:paraId="670C965A" w14:textId="77777777" w:rsidR="00EA79BF" w:rsidRPr="007A5C5F" w:rsidRDefault="00EA79BF" w:rsidP="00EE71C7">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Priority</w:t>
            </w:r>
          </w:p>
        </w:tc>
        <w:tc>
          <w:tcPr>
            <w:tcW w:w="1728" w:type="dxa"/>
          </w:tcPr>
          <w:p w14:paraId="68F0F55A" w14:textId="77777777" w:rsidR="00EA79BF" w:rsidRPr="007A5C5F" w:rsidRDefault="00EA79BF" w:rsidP="00EE71C7">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Timeframe</w:t>
            </w:r>
          </w:p>
        </w:tc>
      </w:tr>
      <w:tr w:rsidR="00EA79BF" w:rsidRPr="007A5C5F" w14:paraId="7386E79B" w14:textId="77777777" w:rsidTr="00EE71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 w:type="dxa"/>
          </w:tcPr>
          <w:p w14:paraId="7384BD8C" w14:textId="77777777" w:rsidR="00EA79BF" w:rsidRPr="007A5C5F" w:rsidRDefault="00EA79BF" w:rsidP="00EE71C7">
            <w:pPr>
              <w:rPr>
                <w:sz w:val="22"/>
                <w:szCs w:val="22"/>
                <w:lang w:val="en-GB"/>
              </w:rPr>
            </w:pPr>
            <w:r w:rsidRPr="007A5C5F">
              <w:rPr>
                <w:sz w:val="22"/>
                <w:szCs w:val="22"/>
                <w:lang w:val="en-GB"/>
              </w:rPr>
              <w:t>1</w:t>
            </w:r>
          </w:p>
        </w:tc>
        <w:tc>
          <w:tcPr>
            <w:tcW w:w="3402" w:type="dxa"/>
          </w:tcPr>
          <w:p w14:paraId="4668A32A"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Strengthen the Results Framework (Finding 7, 15, 16)</w:t>
            </w:r>
          </w:p>
        </w:tc>
        <w:tc>
          <w:tcPr>
            <w:tcW w:w="2864" w:type="dxa"/>
          </w:tcPr>
          <w:p w14:paraId="37484D1D"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JURE Project Implementing Team</w:t>
            </w:r>
          </w:p>
        </w:tc>
        <w:tc>
          <w:tcPr>
            <w:tcW w:w="962" w:type="dxa"/>
          </w:tcPr>
          <w:p w14:paraId="6BC3169E"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High</w:t>
            </w:r>
          </w:p>
        </w:tc>
        <w:tc>
          <w:tcPr>
            <w:tcW w:w="1728" w:type="dxa"/>
          </w:tcPr>
          <w:p w14:paraId="3647975F"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Immediate to Mid-term</w:t>
            </w:r>
          </w:p>
        </w:tc>
      </w:tr>
      <w:tr w:rsidR="00EA79BF" w:rsidRPr="007A5C5F" w14:paraId="0FE1D99C" w14:textId="77777777" w:rsidTr="00EE71C7">
        <w:tc>
          <w:tcPr>
            <w:cnfStyle w:val="001000000000" w:firstRow="0" w:lastRow="0" w:firstColumn="1" w:lastColumn="0" w:oddVBand="0" w:evenVBand="0" w:oddHBand="0" w:evenHBand="0" w:firstRowFirstColumn="0" w:firstRowLastColumn="0" w:lastRowFirstColumn="0" w:lastRowLastColumn="0"/>
            <w:tcW w:w="392" w:type="dxa"/>
          </w:tcPr>
          <w:p w14:paraId="19702C2F" w14:textId="77777777" w:rsidR="00EA79BF" w:rsidRPr="007A5C5F" w:rsidRDefault="00EA79BF" w:rsidP="00EE71C7">
            <w:pPr>
              <w:rPr>
                <w:sz w:val="22"/>
                <w:szCs w:val="22"/>
                <w:lang w:val="en-GB"/>
              </w:rPr>
            </w:pPr>
            <w:r w:rsidRPr="007A5C5F">
              <w:rPr>
                <w:sz w:val="22"/>
                <w:szCs w:val="22"/>
                <w:lang w:val="en-GB"/>
              </w:rPr>
              <w:t>2</w:t>
            </w:r>
          </w:p>
        </w:tc>
        <w:tc>
          <w:tcPr>
            <w:tcW w:w="3402" w:type="dxa"/>
          </w:tcPr>
          <w:p w14:paraId="7F5BB8C0"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Stocktaking and Prioritization for the Next Work Plan (Finding 1, 2)</w:t>
            </w:r>
          </w:p>
        </w:tc>
        <w:tc>
          <w:tcPr>
            <w:tcW w:w="2864" w:type="dxa"/>
          </w:tcPr>
          <w:p w14:paraId="7CCB87FF"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JURE Project Management Office</w:t>
            </w:r>
          </w:p>
        </w:tc>
        <w:tc>
          <w:tcPr>
            <w:tcW w:w="962" w:type="dxa"/>
          </w:tcPr>
          <w:p w14:paraId="272D315B"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lang w:val="en-GB"/>
              </w:rPr>
              <w:t>High</w:t>
            </w:r>
          </w:p>
        </w:tc>
        <w:tc>
          <w:tcPr>
            <w:tcW w:w="1728" w:type="dxa"/>
          </w:tcPr>
          <w:p w14:paraId="0BCB434F"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Next 6 Months</w:t>
            </w:r>
          </w:p>
        </w:tc>
      </w:tr>
      <w:tr w:rsidR="00EA79BF" w:rsidRPr="007A5C5F" w14:paraId="774E2FED" w14:textId="77777777" w:rsidTr="00EE71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 w:type="dxa"/>
          </w:tcPr>
          <w:p w14:paraId="6665FA14" w14:textId="77777777" w:rsidR="00EA79BF" w:rsidRPr="007A5C5F" w:rsidRDefault="00EA79BF" w:rsidP="00EE71C7">
            <w:pPr>
              <w:rPr>
                <w:sz w:val="22"/>
                <w:szCs w:val="22"/>
                <w:lang w:val="en-GB"/>
              </w:rPr>
            </w:pPr>
            <w:r w:rsidRPr="007A5C5F">
              <w:rPr>
                <w:sz w:val="22"/>
                <w:szCs w:val="22"/>
                <w:lang w:val="en-GB"/>
              </w:rPr>
              <w:t>3</w:t>
            </w:r>
          </w:p>
        </w:tc>
        <w:tc>
          <w:tcPr>
            <w:tcW w:w="3402" w:type="dxa"/>
          </w:tcPr>
          <w:p w14:paraId="7137CB3F"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Mitigate the Impact of Cancelled Activities on National Partners (Finding 3, 11)</w:t>
            </w:r>
          </w:p>
        </w:tc>
        <w:tc>
          <w:tcPr>
            <w:tcW w:w="2864" w:type="dxa"/>
          </w:tcPr>
          <w:p w14:paraId="047D2501"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JURE Project Team, Government Stakeholders</w:t>
            </w:r>
          </w:p>
        </w:tc>
        <w:tc>
          <w:tcPr>
            <w:tcW w:w="962" w:type="dxa"/>
          </w:tcPr>
          <w:p w14:paraId="5001473E"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High</w:t>
            </w:r>
          </w:p>
        </w:tc>
        <w:tc>
          <w:tcPr>
            <w:tcW w:w="1728" w:type="dxa"/>
          </w:tcPr>
          <w:p w14:paraId="5C16F1FC"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Immediate to Mid-term</w:t>
            </w:r>
          </w:p>
        </w:tc>
      </w:tr>
      <w:tr w:rsidR="00EA79BF" w:rsidRPr="007A5C5F" w14:paraId="52542758" w14:textId="77777777" w:rsidTr="00EE71C7">
        <w:tc>
          <w:tcPr>
            <w:cnfStyle w:val="001000000000" w:firstRow="0" w:lastRow="0" w:firstColumn="1" w:lastColumn="0" w:oddVBand="0" w:evenVBand="0" w:oddHBand="0" w:evenHBand="0" w:firstRowFirstColumn="0" w:firstRowLastColumn="0" w:lastRowFirstColumn="0" w:lastRowLastColumn="0"/>
            <w:tcW w:w="392" w:type="dxa"/>
          </w:tcPr>
          <w:p w14:paraId="0D91A012" w14:textId="77777777" w:rsidR="00EA79BF" w:rsidRPr="007A5C5F" w:rsidRDefault="00EA79BF" w:rsidP="00EE71C7">
            <w:pPr>
              <w:rPr>
                <w:sz w:val="22"/>
                <w:szCs w:val="22"/>
                <w:lang w:val="en-GB"/>
              </w:rPr>
            </w:pPr>
            <w:r w:rsidRPr="007A5C5F">
              <w:rPr>
                <w:sz w:val="22"/>
                <w:szCs w:val="22"/>
                <w:lang w:val="en-GB"/>
              </w:rPr>
              <w:t>4</w:t>
            </w:r>
          </w:p>
        </w:tc>
        <w:tc>
          <w:tcPr>
            <w:tcW w:w="3402" w:type="dxa"/>
          </w:tcPr>
          <w:p w14:paraId="26B68784"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Adopt an Integrated Approach to Programme Implementation (Finding 10)</w:t>
            </w:r>
          </w:p>
        </w:tc>
        <w:tc>
          <w:tcPr>
            <w:tcW w:w="2864" w:type="dxa"/>
          </w:tcPr>
          <w:p w14:paraId="4379968A"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JURE Program Coordination Unit</w:t>
            </w:r>
          </w:p>
        </w:tc>
        <w:tc>
          <w:tcPr>
            <w:tcW w:w="962" w:type="dxa"/>
          </w:tcPr>
          <w:p w14:paraId="2A90FFD4"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High</w:t>
            </w:r>
          </w:p>
        </w:tc>
        <w:tc>
          <w:tcPr>
            <w:tcW w:w="1728" w:type="dxa"/>
          </w:tcPr>
          <w:p w14:paraId="17B33DBD"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Within 1 Year</w:t>
            </w:r>
          </w:p>
        </w:tc>
      </w:tr>
      <w:tr w:rsidR="00EA79BF" w:rsidRPr="007A5C5F" w14:paraId="1C52F0C1" w14:textId="77777777" w:rsidTr="00EE71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 w:type="dxa"/>
          </w:tcPr>
          <w:p w14:paraId="017630D7" w14:textId="77777777" w:rsidR="00EA79BF" w:rsidRPr="007A5C5F" w:rsidRDefault="00EA79BF" w:rsidP="00EE71C7">
            <w:pPr>
              <w:rPr>
                <w:sz w:val="22"/>
                <w:szCs w:val="22"/>
                <w:lang w:val="en-GB"/>
              </w:rPr>
            </w:pPr>
            <w:r w:rsidRPr="007A5C5F">
              <w:rPr>
                <w:sz w:val="22"/>
                <w:szCs w:val="22"/>
                <w:lang w:val="en-GB"/>
              </w:rPr>
              <w:t>5</w:t>
            </w:r>
          </w:p>
        </w:tc>
        <w:tc>
          <w:tcPr>
            <w:tcW w:w="3402" w:type="dxa"/>
          </w:tcPr>
          <w:p w14:paraId="2E3C61BA"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Improve Coordination, Accountability, and Institutional Commitment (Finding 11, 12)</w:t>
            </w:r>
          </w:p>
        </w:tc>
        <w:tc>
          <w:tcPr>
            <w:tcW w:w="2864" w:type="dxa"/>
          </w:tcPr>
          <w:p w14:paraId="5D7DEA32"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 xml:space="preserve">Ministry of Justice, JURE Implementing Team, </w:t>
            </w:r>
            <w:r w:rsidRPr="00CC5D19">
              <w:rPr>
                <w:sz w:val="22"/>
                <w:szCs w:val="22"/>
                <w:lang w:val="en-GB"/>
              </w:rPr>
              <w:t>UNDP, UNICEF, EU, USAID, KOICA, and JICA funding streams to support ongoing reforms</w:t>
            </w:r>
          </w:p>
        </w:tc>
        <w:tc>
          <w:tcPr>
            <w:tcW w:w="962" w:type="dxa"/>
          </w:tcPr>
          <w:p w14:paraId="428E6C66"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High</w:t>
            </w:r>
          </w:p>
        </w:tc>
        <w:tc>
          <w:tcPr>
            <w:tcW w:w="1728" w:type="dxa"/>
          </w:tcPr>
          <w:p w14:paraId="6CE15A52"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Long-term</w:t>
            </w:r>
          </w:p>
        </w:tc>
      </w:tr>
      <w:tr w:rsidR="00EA79BF" w:rsidRPr="007A5C5F" w14:paraId="59DFAFC9" w14:textId="77777777" w:rsidTr="00EE71C7">
        <w:tc>
          <w:tcPr>
            <w:cnfStyle w:val="001000000000" w:firstRow="0" w:lastRow="0" w:firstColumn="1" w:lastColumn="0" w:oddVBand="0" w:evenVBand="0" w:oddHBand="0" w:evenHBand="0" w:firstRowFirstColumn="0" w:firstRowLastColumn="0" w:lastRowFirstColumn="0" w:lastRowLastColumn="0"/>
            <w:tcW w:w="392" w:type="dxa"/>
          </w:tcPr>
          <w:p w14:paraId="34EAE46C" w14:textId="77777777" w:rsidR="00EA79BF" w:rsidRPr="007A5C5F" w:rsidRDefault="00EA79BF" w:rsidP="00EE71C7">
            <w:pPr>
              <w:rPr>
                <w:lang w:val="en-GB"/>
              </w:rPr>
            </w:pPr>
            <w:r w:rsidRPr="007A5C5F">
              <w:rPr>
                <w:lang w:val="en-GB"/>
              </w:rPr>
              <w:t>6</w:t>
            </w:r>
          </w:p>
        </w:tc>
        <w:tc>
          <w:tcPr>
            <w:tcW w:w="3402" w:type="dxa"/>
          </w:tcPr>
          <w:p w14:paraId="3249C193"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lang w:val="en-GB"/>
              </w:rPr>
            </w:pPr>
            <w:r w:rsidRPr="007A5C5F">
              <w:rPr>
                <w:lang w:val="en-GB"/>
              </w:rPr>
              <w:t xml:space="preserve">Coherence: </w:t>
            </w:r>
            <w:r w:rsidRPr="00A30CE2">
              <w:rPr>
                <w:rFonts w:eastAsia="AppleGothic"/>
                <w:sz w:val="22"/>
                <w:szCs w:val="22"/>
                <w:lang w:val="en-GB"/>
              </w:rPr>
              <w:t>Adopt an Integrated Approach to Programme Implementation</w:t>
            </w:r>
            <w:r w:rsidRPr="007A5C5F">
              <w:rPr>
                <w:lang w:val="en-GB"/>
              </w:rPr>
              <w:t xml:space="preserve"> </w:t>
            </w:r>
            <w:r w:rsidRPr="00CC5D19">
              <w:rPr>
                <w:rFonts w:eastAsia="SimSun"/>
                <w:sz w:val="22"/>
                <w:szCs w:val="22"/>
                <w:lang w:val="en-GB"/>
              </w:rPr>
              <w:t>(Finding 10)</w:t>
            </w:r>
          </w:p>
        </w:tc>
        <w:tc>
          <w:tcPr>
            <w:tcW w:w="2864" w:type="dxa"/>
          </w:tcPr>
          <w:p w14:paraId="52940309"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lang w:val="en-GB"/>
              </w:rPr>
            </w:pPr>
            <w:r w:rsidRPr="007A5C5F">
              <w:rPr>
                <w:i/>
                <w:iCs/>
                <w:lang w:val="en-GB"/>
              </w:rPr>
              <w:t>JURE Program Coordination Unit</w:t>
            </w:r>
          </w:p>
        </w:tc>
        <w:tc>
          <w:tcPr>
            <w:tcW w:w="962" w:type="dxa"/>
          </w:tcPr>
          <w:p w14:paraId="134559EC"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lang w:val="en-GB"/>
              </w:rPr>
            </w:pPr>
            <w:r w:rsidRPr="007A5C5F">
              <w:rPr>
                <w:lang w:val="en-GB"/>
              </w:rPr>
              <w:t>High</w:t>
            </w:r>
          </w:p>
        </w:tc>
        <w:tc>
          <w:tcPr>
            <w:tcW w:w="1728" w:type="dxa"/>
          </w:tcPr>
          <w:p w14:paraId="66976A8E"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lang w:val="en-GB"/>
              </w:rPr>
            </w:pPr>
            <w:r w:rsidRPr="007A5C5F">
              <w:rPr>
                <w:sz w:val="22"/>
                <w:szCs w:val="22"/>
                <w:lang w:val="en-GB"/>
              </w:rPr>
              <w:t>Immediate to Long-term</w:t>
            </w:r>
          </w:p>
        </w:tc>
      </w:tr>
      <w:tr w:rsidR="00EA79BF" w:rsidRPr="007A5C5F" w14:paraId="460C07C8" w14:textId="77777777" w:rsidTr="00EE71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 w:type="dxa"/>
          </w:tcPr>
          <w:p w14:paraId="7567A8EE" w14:textId="77777777" w:rsidR="00EA79BF" w:rsidRPr="007A5C5F" w:rsidRDefault="00EA79BF" w:rsidP="00EE71C7">
            <w:pPr>
              <w:rPr>
                <w:sz w:val="22"/>
                <w:szCs w:val="22"/>
                <w:lang w:val="en-GB"/>
              </w:rPr>
            </w:pPr>
            <w:r w:rsidRPr="007A5C5F">
              <w:rPr>
                <w:lang w:val="en-GB"/>
              </w:rPr>
              <w:t>7</w:t>
            </w:r>
          </w:p>
        </w:tc>
        <w:tc>
          <w:tcPr>
            <w:tcW w:w="3402" w:type="dxa"/>
          </w:tcPr>
          <w:p w14:paraId="24C8966B"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Develop a Structured Exit and Transition Plan (Finding 10, 11, 12, 18)</w:t>
            </w:r>
          </w:p>
        </w:tc>
        <w:tc>
          <w:tcPr>
            <w:tcW w:w="2864" w:type="dxa"/>
          </w:tcPr>
          <w:p w14:paraId="3E3F4656"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Ministry of Justice, JURE Implementing Team</w:t>
            </w:r>
          </w:p>
        </w:tc>
        <w:tc>
          <w:tcPr>
            <w:tcW w:w="962" w:type="dxa"/>
          </w:tcPr>
          <w:p w14:paraId="1C7A2550"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High</w:t>
            </w:r>
          </w:p>
        </w:tc>
        <w:tc>
          <w:tcPr>
            <w:tcW w:w="1728" w:type="dxa"/>
          </w:tcPr>
          <w:p w14:paraId="14F64043"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Long-term</w:t>
            </w:r>
          </w:p>
        </w:tc>
      </w:tr>
      <w:tr w:rsidR="00EA79BF" w:rsidRPr="007A5C5F" w14:paraId="0ADBE018" w14:textId="77777777" w:rsidTr="00EE71C7">
        <w:tc>
          <w:tcPr>
            <w:cnfStyle w:val="001000000000" w:firstRow="0" w:lastRow="0" w:firstColumn="1" w:lastColumn="0" w:oddVBand="0" w:evenVBand="0" w:oddHBand="0" w:evenHBand="0" w:firstRowFirstColumn="0" w:firstRowLastColumn="0" w:lastRowFirstColumn="0" w:lastRowLastColumn="0"/>
            <w:tcW w:w="392" w:type="dxa"/>
          </w:tcPr>
          <w:p w14:paraId="56935B65" w14:textId="77777777" w:rsidR="00EA79BF" w:rsidRPr="007A5C5F" w:rsidRDefault="00EA79BF" w:rsidP="00EE71C7">
            <w:pPr>
              <w:rPr>
                <w:sz w:val="22"/>
                <w:szCs w:val="22"/>
                <w:lang w:val="en-GB"/>
              </w:rPr>
            </w:pPr>
            <w:r w:rsidRPr="007A5C5F">
              <w:rPr>
                <w:lang w:val="en-GB"/>
              </w:rPr>
              <w:t>8</w:t>
            </w:r>
          </w:p>
        </w:tc>
        <w:tc>
          <w:tcPr>
            <w:tcW w:w="3402" w:type="dxa"/>
          </w:tcPr>
          <w:p w14:paraId="6E26266D"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Enhance Gender and Human Rights Commitments (Finding 16)</w:t>
            </w:r>
          </w:p>
        </w:tc>
        <w:tc>
          <w:tcPr>
            <w:tcW w:w="2864" w:type="dxa"/>
          </w:tcPr>
          <w:p w14:paraId="489D23A6"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JURE Project Implementing Team, Ministry of Justice</w:t>
            </w:r>
          </w:p>
        </w:tc>
        <w:tc>
          <w:tcPr>
            <w:tcW w:w="962" w:type="dxa"/>
          </w:tcPr>
          <w:p w14:paraId="4F6D817A"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Medium to High</w:t>
            </w:r>
          </w:p>
        </w:tc>
        <w:tc>
          <w:tcPr>
            <w:tcW w:w="1728" w:type="dxa"/>
          </w:tcPr>
          <w:p w14:paraId="370D0DEC" w14:textId="77777777" w:rsidR="00EA79BF" w:rsidRPr="007A5C5F" w:rsidRDefault="00EA79BF" w:rsidP="00EE71C7">
            <w:pPr>
              <w:cnfStyle w:val="000000000000" w:firstRow="0" w:lastRow="0" w:firstColumn="0" w:lastColumn="0" w:oddVBand="0" w:evenVBand="0" w:oddHBand="0" w:evenHBand="0" w:firstRowFirstColumn="0" w:firstRowLastColumn="0" w:lastRowFirstColumn="0" w:lastRowLastColumn="0"/>
              <w:rPr>
                <w:sz w:val="22"/>
                <w:szCs w:val="22"/>
                <w:lang w:val="en-GB"/>
              </w:rPr>
            </w:pPr>
            <w:r w:rsidRPr="007A5C5F">
              <w:rPr>
                <w:sz w:val="22"/>
                <w:szCs w:val="22"/>
                <w:lang w:val="en-GB"/>
              </w:rPr>
              <w:t>Immediate to Long-term</w:t>
            </w:r>
          </w:p>
        </w:tc>
      </w:tr>
      <w:tr w:rsidR="00EA79BF" w:rsidRPr="007A5C5F" w14:paraId="494ED4C5" w14:textId="77777777" w:rsidTr="00EE71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 w:type="dxa"/>
          </w:tcPr>
          <w:p w14:paraId="3030A587" w14:textId="77777777" w:rsidR="00EA79BF" w:rsidRPr="007A5C5F" w:rsidRDefault="00EA79BF" w:rsidP="00EE71C7">
            <w:pPr>
              <w:rPr>
                <w:sz w:val="22"/>
                <w:szCs w:val="22"/>
                <w:lang w:val="en-GB"/>
              </w:rPr>
            </w:pPr>
            <w:r w:rsidRPr="007A5C5F">
              <w:rPr>
                <w:lang w:val="en-GB"/>
              </w:rPr>
              <w:t>9</w:t>
            </w:r>
          </w:p>
        </w:tc>
        <w:tc>
          <w:tcPr>
            <w:tcW w:w="3402" w:type="dxa"/>
          </w:tcPr>
          <w:p w14:paraId="554AF758"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Enhance the EU’s Added Value in Future Justice Sector Interventions (Finding 17)</w:t>
            </w:r>
          </w:p>
        </w:tc>
        <w:tc>
          <w:tcPr>
            <w:tcW w:w="2864" w:type="dxa"/>
          </w:tcPr>
          <w:p w14:paraId="37FFD9DD"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lang w:val="en-GB"/>
              </w:rPr>
              <w:t>EU</w:t>
            </w:r>
            <w:r w:rsidRPr="007A5C5F">
              <w:rPr>
                <w:sz w:val="22"/>
                <w:szCs w:val="22"/>
                <w:lang w:val="en-GB"/>
              </w:rPr>
              <w:t>, Ministry of Justice</w:t>
            </w:r>
          </w:p>
        </w:tc>
        <w:tc>
          <w:tcPr>
            <w:tcW w:w="962" w:type="dxa"/>
          </w:tcPr>
          <w:p w14:paraId="6D55C687"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Medium to High</w:t>
            </w:r>
          </w:p>
        </w:tc>
        <w:tc>
          <w:tcPr>
            <w:tcW w:w="1728" w:type="dxa"/>
          </w:tcPr>
          <w:p w14:paraId="0EAE21AE" w14:textId="77777777" w:rsidR="00EA79BF" w:rsidRPr="007A5C5F" w:rsidRDefault="00EA79BF" w:rsidP="00EE71C7">
            <w:pPr>
              <w:cnfStyle w:val="000000100000" w:firstRow="0" w:lastRow="0" w:firstColumn="0" w:lastColumn="0" w:oddVBand="0" w:evenVBand="0" w:oddHBand="1" w:evenHBand="0" w:firstRowFirstColumn="0" w:firstRowLastColumn="0" w:lastRowFirstColumn="0" w:lastRowLastColumn="0"/>
              <w:rPr>
                <w:sz w:val="22"/>
                <w:szCs w:val="22"/>
                <w:lang w:val="en-GB"/>
              </w:rPr>
            </w:pPr>
            <w:r w:rsidRPr="007A5C5F">
              <w:rPr>
                <w:sz w:val="22"/>
                <w:szCs w:val="22"/>
                <w:lang w:val="en-GB"/>
              </w:rPr>
              <w:t>Immediate to Long-term</w:t>
            </w:r>
          </w:p>
        </w:tc>
      </w:tr>
    </w:tbl>
    <w:p w14:paraId="70456B1F" w14:textId="77777777" w:rsidR="00EA79BF" w:rsidRPr="007A5C5F" w:rsidRDefault="00EA79BF" w:rsidP="00EA79BF">
      <w:pPr>
        <w:pStyle w:val="Heading2"/>
        <w:jc w:val="center"/>
        <w:rPr>
          <w:sz w:val="28"/>
          <w:lang w:val="en-GB"/>
        </w:rPr>
      </w:pPr>
      <w:r w:rsidRPr="007A5C5F">
        <w:rPr>
          <w:lang w:val="en-GB"/>
        </w:rPr>
        <w:t xml:space="preserve"> </w:t>
      </w:r>
      <w:bookmarkStart w:id="7" w:name="_Toc188348249"/>
      <w:r w:rsidRPr="007A5C5F">
        <w:rPr>
          <w:lang w:val="en-GB"/>
        </w:rPr>
        <w:t xml:space="preserve">Recommendations (abridged </w:t>
      </w:r>
      <w:r>
        <w:rPr>
          <w:lang w:val="en-GB"/>
        </w:rPr>
        <w:t>version</w:t>
      </w:r>
      <w:r w:rsidRPr="007A5C5F">
        <w:rPr>
          <w:lang w:val="en-GB"/>
        </w:rPr>
        <w:t>)</w:t>
      </w:r>
      <w:bookmarkEnd w:id="7"/>
    </w:p>
    <w:p w14:paraId="322B7122" w14:textId="77777777" w:rsidR="00EA79BF" w:rsidRPr="007A5C5F" w:rsidRDefault="00EA79BF" w:rsidP="00EA79BF">
      <w:pPr>
        <w:pStyle w:val="Heading1"/>
        <w:jc w:val="center"/>
        <w:rPr>
          <w:rFonts w:ascii="Times New Roman" w:hAnsi="Times New Roman" w:cs="Times New Roman"/>
          <w:lang w:val="en-GB"/>
        </w:rPr>
      </w:pPr>
      <w:bookmarkStart w:id="8" w:name="_Toc188348250"/>
      <w:r w:rsidRPr="007A5C5F">
        <w:rPr>
          <w:rFonts w:ascii="Times New Roman" w:hAnsi="Times New Roman" w:cs="Times New Roman"/>
          <w:lang w:val="en-GB"/>
        </w:rPr>
        <w:lastRenderedPageBreak/>
        <w:t>I. INTRODUCTION</w:t>
      </w:r>
      <w:bookmarkEnd w:id="8"/>
    </w:p>
    <w:p w14:paraId="479FFC58" w14:textId="77777777" w:rsidR="00EA79BF" w:rsidRPr="00ED0856" w:rsidRDefault="00EA79BF" w:rsidP="00EA79BF">
      <w:pPr>
        <w:jc w:val="both"/>
        <w:rPr>
          <w:sz w:val="22"/>
          <w:szCs w:val="22"/>
          <w:lang w:val="en-GB"/>
        </w:rPr>
      </w:pPr>
      <w:r w:rsidRPr="00ED0856">
        <w:rPr>
          <w:sz w:val="22"/>
          <w:szCs w:val="22"/>
          <w:lang w:val="en-GB"/>
        </w:rPr>
        <w:t xml:space="preserve">The </w:t>
      </w:r>
      <w:r w:rsidRPr="00ED0856">
        <w:rPr>
          <w:b/>
          <w:bCs/>
          <w:sz w:val="22"/>
          <w:szCs w:val="22"/>
          <w:lang w:val="en-GB"/>
        </w:rPr>
        <w:t>Mid-Term Evaluation Report</w:t>
      </w:r>
      <w:r w:rsidRPr="00ED0856">
        <w:rPr>
          <w:sz w:val="22"/>
          <w:szCs w:val="22"/>
          <w:lang w:val="en-GB"/>
        </w:rPr>
        <w:t xml:space="preserve"> of the </w:t>
      </w:r>
      <w:r w:rsidRPr="00ED0856">
        <w:rPr>
          <w:b/>
          <w:bCs/>
          <w:sz w:val="22"/>
          <w:szCs w:val="22"/>
          <w:lang w:val="en-GB"/>
        </w:rPr>
        <w:t>EU-Sri Lanka Justice Reform Programme (JURE)</w:t>
      </w:r>
      <w:r w:rsidRPr="00ED0856">
        <w:rPr>
          <w:sz w:val="22"/>
          <w:szCs w:val="22"/>
          <w:lang w:val="en-GB"/>
        </w:rPr>
        <w:t xml:space="preserve"> provides a detailed assessment of the project’s progress and impact from </w:t>
      </w:r>
      <w:r w:rsidRPr="00ED0856">
        <w:rPr>
          <w:b/>
          <w:bCs/>
          <w:sz w:val="22"/>
          <w:szCs w:val="22"/>
          <w:lang w:val="en-GB"/>
        </w:rPr>
        <w:t>January 2022 to May 2024</w:t>
      </w:r>
      <w:r w:rsidRPr="00ED0856">
        <w:rPr>
          <w:sz w:val="22"/>
          <w:szCs w:val="22"/>
          <w:lang w:val="en-GB"/>
        </w:rPr>
        <w:t xml:space="preserve">. The report is structured into several key chapters, beginning with an </w:t>
      </w:r>
      <w:r w:rsidRPr="00ED0856">
        <w:rPr>
          <w:b/>
          <w:bCs/>
          <w:sz w:val="22"/>
          <w:szCs w:val="22"/>
          <w:lang w:val="en-GB"/>
        </w:rPr>
        <w:t>Executive Summary</w:t>
      </w:r>
      <w:r w:rsidRPr="00ED0856">
        <w:rPr>
          <w:sz w:val="22"/>
          <w:szCs w:val="22"/>
          <w:lang w:val="en-GB"/>
        </w:rPr>
        <w:t>, which offers a concise overview of the evaluation’s purpose, methodology, key findings, conclusions, and recommendations.</w:t>
      </w:r>
    </w:p>
    <w:p w14:paraId="5FA09163" w14:textId="77777777" w:rsidR="00EA79BF" w:rsidRPr="007A5C5F" w:rsidRDefault="00EA79BF" w:rsidP="00EA79BF">
      <w:pPr>
        <w:jc w:val="both"/>
        <w:rPr>
          <w:sz w:val="22"/>
          <w:szCs w:val="22"/>
          <w:lang w:val="en-GB"/>
        </w:rPr>
      </w:pPr>
      <w:r w:rsidRPr="00ED0856">
        <w:rPr>
          <w:sz w:val="22"/>
          <w:szCs w:val="22"/>
          <w:lang w:val="en-GB"/>
        </w:rPr>
        <w:t xml:space="preserve">The </w:t>
      </w:r>
      <w:r w:rsidRPr="00ED0856">
        <w:rPr>
          <w:b/>
          <w:bCs/>
          <w:sz w:val="22"/>
          <w:szCs w:val="22"/>
          <w:lang w:val="en-GB"/>
        </w:rPr>
        <w:t>Introduction</w:t>
      </w:r>
      <w:r w:rsidRPr="00ED0856">
        <w:rPr>
          <w:sz w:val="22"/>
          <w:szCs w:val="22"/>
          <w:lang w:val="en-GB"/>
        </w:rPr>
        <w:t xml:space="preserve"> establishes the context of the evaluation, outlining the background of the JURE project, its objectives, intervention logic, and its alignment with Sri Lanka’s justice sector priorities. It also defines the evaluation's scope, purpose, and methodology, guided by the </w:t>
      </w:r>
      <w:r w:rsidRPr="00ED0856">
        <w:rPr>
          <w:b/>
          <w:bCs/>
          <w:sz w:val="22"/>
          <w:szCs w:val="22"/>
          <w:lang w:val="en-GB"/>
        </w:rPr>
        <w:t>OECD DAC evaluation criteria</w:t>
      </w:r>
      <w:r w:rsidRPr="00ED0856">
        <w:rPr>
          <w:sz w:val="22"/>
          <w:szCs w:val="22"/>
          <w:lang w:val="en-GB"/>
        </w:rPr>
        <w:t xml:space="preserve"> and </w:t>
      </w:r>
      <w:r w:rsidRPr="00ED0856">
        <w:rPr>
          <w:b/>
          <w:bCs/>
          <w:sz w:val="22"/>
          <w:szCs w:val="22"/>
          <w:lang w:val="en-GB"/>
        </w:rPr>
        <w:t>EU-specific criteria on added value</w:t>
      </w:r>
      <w:r w:rsidRPr="00ED0856">
        <w:rPr>
          <w:sz w:val="22"/>
          <w:szCs w:val="22"/>
          <w:lang w:val="en-GB"/>
        </w:rPr>
        <w:t>.</w:t>
      </w:r>
    </w:p>
    <w:p w14:paraId="2DF65F81" w14:textId="77777777" w:rsidR="00EA79BF" w:rsidRPr="00ED0856" w:rsidRDefault="00EA79BF" w:rsidP="00EA79BF">
      <w:pPr>
        <w:jc w:val="both"/>
        <w:rPr>
          <w:sz w:val="22"/>
          <w:szCs w:val="22"/>
          <w:lang w:val="en-GB"/>
        </w:rPr>
      </w:pPr>
    </w:p>
    <w:p w14:paraId="5FBA97DA" w14:textId="352C1AB7" w:rsidR="00EA79BF" w:rsidRPr="007A5C5F" w:rsidRDefault="00EA79BF" w:rsidP="00EA79BF">
      <w:pPr>
        <w:jc w:val="both"/>
        <w:rPr>
          <w:sz w:val="22"/>
          <w:szCs w:val="22"/>
          <w:lang w:val="en-GB"/>
        </w:rPr>
      </w:pPr>
      <w:r w:rsidRPr="00ED0856">
        <w:rPr>
          <w:sz w:val="22"/>
          <w:szCs w:val="22"/>
          <w:lang w:val="en-GB"/>
        </w:rPr>
        <w:t xml:space="preserve">The core of the report is the </w:t>
      </w:r>
      <w:r w:rsidRPr="00ED0856">
        <w:rPr>
          <w:b/>
          <w:bCs/>
          <w:sz w:val="22"/>
          <w:szCs w:val="22"/>
          <w:lang w:val="en-GB"/>
        </w:rPr>
        <w:t>Evaluation Findings</w:t>
      </w:r>
      <w:r w:rsidRPr="00ED0856">
        <w:rPr>
          <w:sz w:val="22"/>
          <w:szCs w:val="22"/>
          <w:lang w:val="en-GB"/>
        </w:rPr>
        <w:t xml:space="preserve"> chapter, which presents an in-depth analysis of the project’s performance based on the </w:t>
      </w:r>
      <w:r w:rsidRPr="00ED0856">
        <w:rPr>
          <w:b/>
          <w:bCs/>
          <w:sz w:val="22"/>
          <w:szCs w:val="22"/>
          <w:lang w:val="en-GB"/>
        </w:rPr>
        <w:t>20 evaluation questions</w:t>
      </w:r>
      <w:r w:rsidRPr="00ED0856">
        <w:rPr>
          <w:sz w:val="22"/>
          <w:szCs w:val="22"/>
          <w:lang w:val="en-GB"/>
        </w:rPr>
        <w:t xml:space="preserve"> developed to assess its relevance, coherence, efficiency, effectiveness, sustainability, impact, and contribution to gender equality and human rights. Each evaluation question is addressed in a structured manner, with supporting evidence from primary and secondary data sources. The report evaluates the project’s relevance to national justice reforms, coherence with other donor-funded initiatives, efficiency in resource allocation, and effectiveness in achieving its intended outputs and outcomes. It also examines the early signs of </w:t>
      </w:r>
      <w:r w:rsidR="00EC57B7" w:rsidRPr="007A5C5F">
        <w:rPr>
          <w:sz w:val="22"/>
          <w:szCs w:val="22"/>
          <w:lang w:val="en-GB"/>
        </w:rPr>
        <w:t>impact,</w:t>
      </w:r>
      <w:r w:rsidRPr="00ED0856">
        <w:rPr>
          <w:sz w:val="22"/>
          <w:szCs w:val="22"/>
          <w:lang w:val="en-GB"/>
        </w:rPr>
        <w:t xml:space="preserve"> and the sustainability of the reforms introduced. Additionally, it assesses the project's integration of </w:t>
      </w:r>
      <w:r w:rsidRPr="00ED0856">
        <w:rPr>
          <w:b/>
          <w:bCs/>
          <w:sz w:val="22"/>
          <w:szCs w:val="22"/>
          <w:lang w:val="en-GB"/>
        </w:rPr>
        <w:t>human rights, gender equality, and inclusivity</w:t>
      </w:r>
      <w:r w:rsidRPr="00ED0856">
        <w:rPr>
          <w:sz w:val="22"/>
          <w:szCs w:val="22"/>
          <w:lang w:val="en-GB"/>
        </w:rPr>
        <w:t xml:space="preserve">, as well as the </w:t>
      </w:r>
      <w:r w:rsidRPr="00ED0856">
        <w:rPr>
          <w:b/>
          <w:bCs/>
          <w:sz w:val="22"/>
          <w:szCs w:val="22"/>
          <w:lang w:val="en-GB"/>
        </w:rPr>
        <w:t>EU’s added value</w:t>
      </w:r>
      <w:r w:rsidRPr="00ED0856">
        <w:rPr>
          <w:sz w:val="22"/>
          <w:szCs w:val="22"/>
          <w:lang w:val="en-GB"/>
        </w:rPr>
        <w:t xml:space="preserve"> in strengthening justice sector governance in Sri Lanka.</w:t>
      </w:r>
    </w:p>
    <w:p w14:paraId="146064AF" w14:textId="77777777" w:rsidR="00EA79BF" w:rsidRPr="00ED0856" w:rsidRDefault="00EA79BF" w:rsidP="00EA79BF">
      <w:pPr>
        <w:jc w:val="both"/>
        <w:rPr>
          <w:sz w:val="22"/>
          <w:szCs w:val="22"/>
          <w:lang w:val="en-GB"/>
        </w:rPr>
      </w:pPr>
    </w:p>
    <w:p w14:paraId="510342EC" w14:textId="77777777" w:rsidR="00EA79BF" w:rsidRPr="007A5C5F" w:rsidRDefault="00EA79BF" w:rsidP="00EA79BF">
      <w:pPr>
        <w:jc w:val="both"/>
        <w:rPr>
          <w:sz w:val="22"/>
          <w:szCs w:val="22"/>
          <w:lang w:val="en-GB"/>
        </w:rPr>
      </w:pPr>
      <w:r w:rsidRPr="00ED0856">
        <w:rPr>
          <w:sz w:val="22"/>
          <w:szCs w:val="22"/>
          <w:lang w:val="en-GB"/>
        </w:rPr>
        <w:t xml:space="preserve">The </w:t>
      </w:r>
      <w:r w:rsidRPr="00ED0856">
        <w:rPr>
          <w:b/>
          <w:bCs/>
          <w:sz w:val="22"/>
          <w:szCs w:val="22"/>
          <w:lang w:val="en-GB"/>
        </w:rPr>
        <w:t>Conclusions</w:t>
      </w:r>
      <w:r w:rsidRPr="00ED0856">
        <w:rPr>
          <w:sz w:val="22"/>
          <w:szCs w:val="22"/>
          <w:lang w:val="en-GB"/>
        </w:rPr>
        <w:t xml:space="preserve"> chapter synthesizes key insights derived from the findings, reflecting on the project’s successes, challenges, and areas requiring further intervention. The </w:t>
      </w:r>
      <w:r w:rsidRPr="00ED0856">
        <w:rPr>
          <w:b/>
          <w:bCs/>
          <w:sz w:val="22"/>
          <w:szCs w:val="22"/>
          <w:lang w:val="en-GB"/>
        </w:rPr>
        <w:t>Recommendations</w:t>
      </w:r>
      <w:r w:rsidRPr="00ED0856">
        <w:rPr>
          <w:sz w:val="22"/>
          <w:szCs w:val="22"/>
          <w:lang w:val="en-GB"/>
        </w:rPr>
        <w:t xml:space="preserve"> section provides </w:t>
      </w:r>
      <w:r>
        <w:rPr>
          <w:b/>
          <w:bCs/>
          <w:sz w:val="22"/>
          <w:szCs w:val="22"/>
          <w:lang w:val="en-GB"/>
        </w:rPr>
        <w:t>nine</w:t>
      </w:r>
      <w:r w:rsidRPr="00ED0856">
        <w:rPr>
          <w:b/>
          <w:bCs/>
          <w:sz w:val="22"/>
          <w:szCs w:val="22"/>
          <w:lang w:val="en-GB"/>
        </w:rPr>
        <w:t xml:space="preserve"> strategic recommendations</w:t>
      </w:r>
      <w:r w:rsidRPr="00ED0856">
        <w:rPr>
          <w:sz w:val="22"/>
          <w:szCs w:val="22"/>
          <w:lang w:val="en-GB"/>
        </w:rPr>
        <w:t>, offering actionable steps to enhance the project’s implementation, ensure its sustainability, and improve coordination among stakeholders.</w:t>
      </w:r>
    </w:p>
    <w:p w14:paraId="052B3E2A" w14:textId="77777777" w:rsidR="00EA79BF" w:rsidRPr="00ED0856" w:rsidRDefault="00EA79BF" w:rsidP="00EA79BF">
      <w:pPr>
        <w:jc w:val="both"/>
        <w:rPr>
          <w:sz w:val="22"/>
          <w:szCs w:val="22"/>
          <w:lang w:val="en-GB"/>
        </w:rPr>
      </w:pPr>
    </w:p>
    <w:p w14:paraId="66FC9058" w14:textId="77777777" w:rsidR="00EA79BF" w:rsidRPr="00ED0856" w:rsidRDefault="00EA79BF" w:rsidP="00EA79BF">
      <w:pPr>
        <w:jc w:val="both"/>
        <w:rPr>
          <w:sz w:val="22"/>
          <w:szCs w:val="22"/>
          <w:lang w:val="en-GB"/>
        </w:rPr>
      </w:pPr>
      <w:r w:rsidRPr="00ED0856">
        <w:rPr>
          <w:sz w:val="22"/>
          <w:szCs w:val="22"/>
          <w:lang w:val="en-GB"/>
        </w:rPr>
        <w:t xml:space="preserve">The report concludes with a section on </w:t>
      </w:r>
      <w:r w:rsidRPr="00ED0856">
        <w:rPr>
          <w:b/>
          <w:bCs/>
          <w:sz w:val="22"/>
          <w:szCs w:val="22"/>
          <w:lang w:val="en-GB"/>
        </w:rPr>
        <w:t>Lessons Learned and Good Practices</w:t>
      </w:r>
      <w:r w:rsidRPr="00ED0856">
        <w:rPr>
          <w:sz w:val="22"/>
          <w:szCs w:val="22"/>
          <w:lang w:val="en-GB"/>
        </w:rPr>
        <w:t>, highlighting innovative approaches, best practices, and lessons that can inform future justice sector programming in Sri Lanka.</w:t>
      </w:r>
    </w:p>
    <w:p w14:paraId="023A7DED" w14:textId="77777777" w:rsidR="00EA79BF" w:rsidRPr="00ED0856" w:rsidRDefault="00EA79BF" w:rsidP="00EA79BF">
      <w:pPr>
        <w:jc w:val="both"/>
        <w:rPr>
          <w:sz w:val="22"/>
          <w:szCs w:val="22"/>
          <w:lang w:val="en-GB"/>
        </w:rPr>
      </w:pPr>
      <w:r w:rsidRPr="00ED0856">
        <w:rPr>
          <w:sz w:val="22"/>
          <w:szCs w:val="22"/>
          <w:lang w:val="en-GB"/>
        </w:rPr>
        <w:t xml:space="preserve">In total, the evaluation presents </w:t>
      </w:r>
      <w:r w:rsidRPr="00ED0856">
        <w:rPr>
          <w:b/>
          <w:bCs/>
          <w:sz w:val="22"/>
          <w:szCs w:val="22"/>
          <w:lang w:val="en-GB"/>
        </w:rPr>
        <w:t>19 key findings</w:t>
      </w:r>
      <w:r w:rsidRPr="00ED0856">
        <w:rPr>
          <w:sz w:val="22"/>
          <w:szCs w:val="22"/>
          <w:lang w:val="en-GB"/>
        </w:rPr>
        <w:t xml:space="preserve">, each linked to specific evaluation criteria and supported by qualitative and quantitative data. The </w:t>
      </w:r>
      <w:r>
        <w:rPr>
          <w:b/>
          <w:bCs/>
          <w:sz w:val="22"/>
          <w:szCs w:val="22"/>
          <w:lang w:val="en-GB"/>
        </w:rPr>
        <w:t>seven</w:t>
      </w:r>
      <w:r w:rsidRPr="00ED0856">
        <w:rPr>
          <w:b/>
          <w:bCs/>
          <w:sz w:val="22"/>
          <w:szCs w:val="22"/>
          <w:lang w:val="en-GB"/>
        </w:rPr>
        <w:t xml:space="preserve"> main conclusions</w:t>
      </w:r>
      <w:r w:rsidRPr="00ED0856">
        <w:rPr>
          <w:sz w:val="22"/>
          <w:szCs w:val="22"/>
          <w:lang w:val="en-GB"/>
        </w:rPr>
        <w:t xml:space="preserve"> summarize the critical reflections emerging from the assessment. The </w:t>
      </w:r>
      <w:r>
        <w:rPr>
          <w:b/>
          <w:bCs/>
          <w:sz w:val="22"/>
          <w:szCs w:val="22"/>
          <w:lang w:val="en-GB"/>
        </w:rPr>
        <w:t>nine</w:t>
      </w:r>
      <w:r w:rsidRPr="00ED0856">
        <w:rPr>
          <w:b/>
          <w:bCs/>
          <w:sz w:val="22"/>
          <w:szCs w:val="22"/>
          <w:lang w:val="en-GB"/>
        </w:rPr>
        <w:t xml:space="preserve"> recommendations</w:t>
      </w:r>
      <w:r w:rsidRPr="00ED0856">
        <w:rPr>
          <w:sz w:val="22"/>
          <w:szCs w:val="22"/>
          <w:lang w:val="en-GB"/>
        </w:rPr>
        <w:t xml:space="preserve"> focus on refining implementation strategies, strengthening institutional capacity, and ensuring long-term </w:t>
      </w:r>
      <w:r w:rsidRPr="007A5C5F">
        <w:rPr>
          <w:sz w:val="22"/>
          <w:szCs w:val="22"/>
          <w:lang w:val="en-GB"/>
        </w:rPr>
        <w:t>sustainability. The</w:t>
      </w:r>
      <w:r w:rsidRPr="00ED0856">
        <w:rPr>
          <w:sz w:val="22"/>
          <w:szCs w:val="22"/>
          <w:lang w:val="en-GB"/>
        </w:rPr>
        <w:t xml:space="preserve"> report also includes annexes that provide supplementary information, including a </w:t>
      </w:r>
      <w:r w:rsidRPr="00ED0856">
        <w:rPr>
          <w:b/>
          <w:bCs/>
          <w:sz w:val="22"/>
          <w:szCs w:val="22"/>
          <w:lang w:val="en-GB"/>
        </w:rPr>
        <w:t>comprehensive list of consulted sources, methodological details, and data collection instruments</w:t>
      </w:r>
      <w:r w:rsidRPr="00ED0856">
        <w:rPr>
          <w:sz w:val="22"/>
          <w:szCs w:val="22"/>
          <w:lang w:val="en-GB"/>
        </w:rPr>
        <w:t xml:space="preserve">, ensuring transparency and </w:t>
      </w:r>
      <w:r>
        <w:rPr>
          <w:sz w:val="22"/>
          <w:szCs w:val="22"/>
          <w:lang w:val="en-GB"/>
        </w:rPr>
        <w:t>rigour</w:t>
      </w:r>
      <w:r w:rsidRPr="00ED0856">
        <w:rPr>
          <w:sz w:val="22"/>
          <w:szCs w:val="22"/>
          <w:lang w:val="en-GB"/>
        </w:rPr>
        <w:t xml:space="preserve"> in the evaluation process.</w:t>
      </w:r>
    </w:p>
    <w:p w14:paraId="18FDAD8A" w14:textId="77777777" w:rsidR="00EA79BF" w:rsidRPr="007A5C5F" w:rsidRDefault="00EA79BF" w:rsidP="00EA79BF">
      <w:pPr>
        <w:pStyle w:val="Heading3"/>
        <w:rPr>
          <w:rFonts w:ascii="Times New Roman" w:hAnsi="Times New Roman" w:cs="Times New Roman"/>
          <w:lang w:val="en-GB"/>
        </w:rPr>
      </w:pPr>
      <w:r w:rsidRPr="007A5C5F">
        <w:rPr>
          <w:rFonts w:ascii="Times New Roman" w:hAnsi="Times New Roman" w:cs="Times New Roman"/>
          <w:lang w:val="en-GB"/>
        </w:rPr>
        <w:t>BACKGROUND AND CONTEXT</w:t>
      </w:r>
    </w:p>
    <w:p w14:paraId="56F742B4" w14:textId="77777777" w:rsidR="00EA79BF" w:rsidRPr="007A5C5F" w:rsidRDefault="00EA79BF" w:rsidP="00EA79BF">
      <w:pPr>
        <w:tabs>
          <w:tab w:val="left" w:pos="1440"/>
        </w:tabs>
        <w:jc w:val="both"/>
        <w:rPr>
          <w:sz w:val="22"/>
          <w:szCs w:val="22"/>
          <w:lang w:val="en-GB"/>
        </w:rPr>
      </w:pPr>
      <w:r w:rsidRPr="007A5C5F">
        <w:rPr>
          <w:sz w:val="22"/>
          <w:szCs w:val="22"/>
          <w:lang w:val="en-GB"/>
        </w:rPr>
        <w:t>The Mid-Term Evaluation (MTE) of the JURE project aims to provide an independent and comprehensive assessment of the project’s progress and performance in achieving its stated objectives. The evaluation critically examines the quality of outputs, measures progress against intended and unintended results and identifies opportunities for enhancing effectiveness and impact. Additionally, it assesses how well the project contributes to broader justice sector reforms, ensuring alignment with international best practices, particularly in gender mainstreaming and a rights-based approach.</w:t>
      </w:r>
    </w:p>
    <w:p w14:paraId="66C6CD61" w14:textId="77777777" w:rsidR="00EA79BF" w:rsidRPr="007A5C5F" w:rsidRDefault="00EA79BF" w:rsidP="00EA79BF">
      <w:pPr>
        <w:tabs>
          <w:tab w:val="left" w:pos="1440"/>
        </w:tabs>
        <w:jc w:val="both"/>
        <w:rPr>
          <w:sz w:val="22"/>
          <w:szCs w:val="22"/>
          <w:lang w:val="en-GB"/>
        </w:rPr>
      </w:pPr>
    </w:p>
    <w:p w14:paraId="73C1E1D8" w14:textId="77777777" w:rsidR="00EA79BF" w:rsidRPr="00355BD2" w:rsidRDefault="00EA79BF" w:rsidP="00EA79BF">
      <w:pPr>
        <w:tabs>
          <w:tab w:val="left" w:pos="1440"/>
        </w:tabs>
        <w:jc w:val="both"/>
        <w:rPr>
          <w:sz w:val="22"/>
          <w:szCs w:val="22"/>
          <w:lang w:val="en-GB"/>
        </w:rPr>
      </w:pPr>
      <w:r w:rsidRPr="00355BD2">
        <w:rPr>
          <w:sz w:val="22"/>
          <w:szCs w:val="22"/>
          <w:lang w:val="en-GB"/>
        </w:rPr>
        <w:t xml:space="preserve">This evaluation is conducted at the </w:t>
      </w:r>
      <w:r w:rsidRPr="00355BD2">
        <w:rPr>
          <w:b/>
          <w:bCs/>
          <w:sz w:val="22"/>
          <w:szCs w:val="22"/>
          <w:lang w:val="en-GB"/>
        </w:rPr>
        <w:t>midpoint of the project’s implementation (January 2022 – May 2024)</w:t>
      </w:r>
      <w:r w:rsidRPr="00355BD2">
        <w:rPr>
          <w:sz w:val="22"/>
          <w:szCs w:val="22"/>
          <w:lang w:val="en-GB"/>
        </w:rPr>
        <w:t xml:space="preserve"> to ensure that corrective measures can be taken where necessary and that the project remains relevant, effective, and aligned with </w:t>
      </w:r>
      <w:r w:rsidRPr="00355BD2">
        <w:rPr>
          <w:b/>
          <w:bCs/>
          <w:sz w:val="22"/>
          <w:szCs w:val="22"/>
          <w:lang w:val="en-GB"/>
        </w:rPr>
        <w:t>Sri Lanka’s justice reform priorities and evolving socio-political dynamics</w:t>
      </w:r>
      <w:r w:rsidRPr="00355BD2">
        <w:rPr>
          <w:sz w:val="22"/>
          <w:szCs w:val="22"/>
          <w:lang w:val="en-GB"/>
        </w:rPr>
        <w:t xml:space="preserve">. The evaluation also provides strategic direction for the remainder of the project, ensuring it remains </w:t>
      </w:r>
      <w:r w:rsidRPr="00355BD2">
        <w:rPr>
          <w:b/>
          <w:bCs/>
          <w:sz w:val="22"/>
          <w:szCs w:val="22"/>
          <w:lang w:val="en-GB"/>
        </w:rPr>
        <w:t>impact-driven and sustainable</w:t>
      </w:r>
      <w:r w:rsidRPr="00355BD2">
        <w:rPr>
          <w:sz w:val="22"/>
          <w:szCs w:val="22"/>
          <w:lang w:val="en-GB"/>
        </w:rPr>
        <w:t>.</w:t>
      </w:r>
    </w:p>
    <w:p w14:paraId="700212FA" w14:textId="77777777" w:rsidR="00EA79BF" w:rsidRPr="007A5C5F" w:rsidRDefault="00EA79BF" w:rsidP="00EA79BF">
      <w:pPr>
        <w:pStyle w:val="Heading3"/>
        <w:rPr>
          <w:rFonts w:ascii="Times New Roman" w:hAnsi="Times New Roman" w:cs="Times New Roman"/>
          <w:lang w:val="en-GB"/>
        </w:rPr>
      </w:pPr>
      <w:r w:rsidRPr="007A5C5F">
        <w:rPr>
          <w:rFonts w:ascii="Times New Roman" w:hAnsi="Times New Roman" w:cs="Times New Roman"/>
          <w:lang w:val="en-GB"/>
        </w:rPr>
        <w:t>Primary Users and Intended Use of the Evaluation:</w:t>
      </w:r>
    </w:p>
    <w:p w14:paraId="1A9EF63C" w14:textId="77777777" w:rsidR="00EA79BF" w:rsidRPr="00355BD2" w:rsidRDefault="00EA79BF" w:rsidP="00EA79BF">
      <w:pPr>
        <w:numPr>
          <w:ilvl w:val="0"/>
          <w:numId w:val="264"/>
        </w:numPr>
        <w:tabs>
          <w:tab w:val="left" w:pos="1440"/>
        </w:tabs>
        <w:jc w:val="both"/>
        <w:rPr>
          <w:sz w:val="22"/>
          <w:szCs w:val="22"/>
          <w:lang w:val="en-GB"/>
        </w:rPr>
      </w:pPr>
      <w:r w:rsidRPr="00355BD2">
        <w:rPr>
          <w:sz w:val="22"/>
          <w:szCs w:val="22"/>
          <w:lang w:val="en-GB"/>
        </w:rPr>
        <w:t>JURE project management, who require insights into the project's effectiveness and alignment with broader justice sector reforms to inform future decision-making.</w:t>
      </w:r>
    </w:p>
    <w:p w14:paraId="5F59278C" w14:textId="77777777" w:rsidR="00EA79BF" w:rsidRPr="00355BD2" w:rsidRDefault="00EA79BF" w:rsidP="00EA79BF">
      <w:pPr>
        <w:numPr>
          <w:ilvl w:val="0"/>
          <w:numId w:val="264"/>
        </w:numPr>
        <w:tabs>
          <w:tab w:val="left" w:pos="1440"/>
        </w:tabs>
        <w:jc w:val="both"/>
        <w:rPr>
          <w:sz w:val="22"/>
          <w:szCs w:val="22"/>
          <w:lang w:val="en-GB"/>
        </w:rPr>
      </w:pPr>
      <w:r w:rsidRPr="00355BD2">
        <w:rPr>
          <w:sz w:val="22"/>
          <w:szCs w:val="22"/>
          <w:lang w:val="en-GB"/>
        </w:rPr>
        <w:t>Government institutions and justice sector actors seek evidence-based recommendations to enhance policy implementation, service delivery, and institutional capacity in Sri Lanka’s justice system.</w:t>
      </w:r>
    </w:p>
    <w:p w14:paraId="7A4F1832" w14:textId="77777777" w:rsidR="00EA79BF" w:rsidRPr="00355BD2" w:rsidRDefault="00EA79BF" w:rsidP="00EA79BF">
      <w:pPr>
        <w:numPr>
          <w:ilvl w:val="0"/>
          <w:numId w:val="264"/>
        </w:numPr>
        <w:tabs>
          <w:tab w:val="left" w:pos="1440"/>
        </w:tabs>
        <w:jc w:val="both"/>
        <w:rPr>
          <w:sz w:val="22"/>
          <w:szCs w:val="22"/>
          <w:lang w:val="en-GB"/>
        </w:rPr>
      </w:pPr>
      <w:r w:rsidRPr="007A5C5F">
        <w:rPr>
          <w:sz w:val="22"/>
          <w:szCs w:val="22"/>
          <w:lang w:val="en-GB"/>
        </w:rPr>
        <w:lastRenderedPageBreak/>
        <w:t xml:space="preserve">European Union Delegation to Sri Lanka (donor) </w:t>
      </w:r>
      <w:r w:rsidRPr="00355BD2">
        <w:rPr>
          <w:sz w:val="22"/>
          <w:szCs w:val="22"/>
          <w:lang w:val="en-GB"/>
        </w:rPr>
        <w:t xml:space="preserve">and </w:t>
      </w:r>
      <w:r w:rsidRPr="007A5C5F">
        <w:rPr>
          <w:sz w:val="22"/>
          <w:szCs w:val="22"/>
          <w:lang w:val="en-GB"/>
        </w:rPr>
        <w:t xml:space="preserve">other </w:t>
      </w:r>
      <w:r w:rsidRPr="00355BD2">
        <w:rPr>
          <w:sz w:val="22"/>
          <w:szCs w:val="22"/>
          <w:lang w:val="en-GB"/>
        </w:rPr>
        <w:t>development partners, who will use the findings to assess the value and sustainability of their investments in justice sector reforms.</w:t>
      </w:r>
    </w:p>
    <w:p w14:paraId="47603D69" w14:textId="77777777" w:rsidR="00EA79BF" w:rsidRPr="00355BD2" w:rsidRDefault="00EA79BF" w:rsidP="00EA79BF">
      <w:pPr>
        <w:numPr>
          <w:ilvl w:val="0"/>
          <w:numId w:val="264"/>
        </w:numPr>
        <w:tabs>
          <w:tab w:val="left" w:pos="1440"/>
        </w:tabs>
        <w:jc w:val="both"/>
        <w:rPr>
          <w:sz w:val="22"/>
          <w:szCs w:val="22"/>
          <w:lang w:val="en-GB"/>
        </w:rPr>
      </w:pPr>
      <w:r w:rsidRPr="00355BD2">
        <w:rPr>
          <w:sz w:val="22"/>
          <w:szCs w:val="22"/>
          <w:lang w:val="en-GB"/>
        </w:rPr>
        <w:t>Civil society organizations</w:t>
      </w:r>
      <w:r w:rsidRPr="007A5C5F">
        <w:rPr>
          <w:sz w:val="22"/>
          <w:szCs w:val="22"/>
          <w:lang w:val="en-GB"/>
        </w:rPr>
        <w:t>,</w:t>
      </w:r>
      <w:r w:rsidRPr="00355BD2">
        <w:rPr>
          <w:sz w:val="22"/>
          <w:szCs w:val="22"/>
          <w:lang w:val="en-GB"/>
        </w:rPr>
        <w:t xml:space="preserve"> legal professionals</w:t>
      </w:r>
      <w:r w:rsidRPr="007A5C5F">
        <w:rPr>
          <w:sz w:val="22"/>
          <w:szCs w:val="22"/>
          <w:lang w:val="en-GB"/>
        </w:rPr>
        <w:t xml:space="preserve"> and young lawyers</w:t>
      </w:r>
      <w:r w:rsidRPr="00355BD2">
        <w:rPr>
          <w:sz w:val="22"/>
          <w:szCs w:val="22"/>
          <w:lang w:val="en-GB"/>
        </w:rPr>
        <w:t xml:space="preserve"> can leverage the findings to advocate for more inclusive and effective justice interventions, particularly for marginalized groups.</w:t>
      </w:r>
    </w:p>
    <w:p w14:paraId="5220B9BD" w14:textId="77777777" w:rsidR="00EA79BF" w:rsidRPr="007A5C5F" w:rsidRDefault="00EA79BF" w:rsidP="00EA79BF">
      <w:pPr>
        <w:tabs>
          <w:tab w:val="left" w:pos="1440"/>
        </w:tabs>
        <w:jc w:val="both"/>
        <w:rPr>
          <w:sz w:val="22"/>
          <w:szCs w:val="22"/>
          <w:lang w:val="en-GB"/>
        </w:rPr>
      </w:pPr>
    </w:p>
    <w:p w14:paraId="4C826445" w14:textId="77777777" w:rsidR="00EA79BF" w:rsidRPr="007A5C5F" w:rsidRDefault="00EA79BF" w:rsidP="00EA79BF">
      <w:pPr>
        <w:tabs>
          <w:tab w:val="left" w:pos="1440"/>
        </w:tabs>
        <w:jc w:val="both"/>
        <w:rPr>
          <w:sz w:val="22"/>
          <w:szCs w:val="22"/>
          <w:lang w:val="en-GB"/>
        </w:rPr>
      </w:pPr>
      <w:r w:rsidRPr="00355BD2">
        <w:rPr>
          <w:sz w:val="22"/>
          <w:szCs w:val="22"/>
          <w:lang w:val="en-GB"/>
        </w:rPr>
        <w:t>The evaluation findings will be used to refine the project’s strategy, implementation approach, and resource allocation, ensuring that the project effectively addresses gaps and maximizes impact.</w:t>
      </w:r>
    </w:p>
    <w:p w14:paraId="414D9863" w14:textId="77777777" w:rsidR="00EA79BF" w:rsidRPr="007A5C5F" w:rsidRDefault="00EA79BF" w:rsidP="00EA79BF">
      <w:pPr>
        <w:tabs>
          <w:tab w:val="left" w:pos="1440"/>
        </w:tabs>
        <w:jc w:val="both"/>
        <w:rPr>
          <w:sz w:val="22"/>
          <w:szCs w:val="22"/>
          <w:lang w:val="en-GB"/>
        </w:rPr>
      </w:pPr>
    </w:p>
    <w:p w14:paraId="58DBE854" w14:textId="77777777" w:rsidR="00EA79BF" w:rsidRPr="007A5C5F" w:rsidRDefault="00EA79BF" w:rsidP="00EA79BF">
      <w:pPr>
        <w:pStyle w:val="Heading1"/>
        <w:jc w:val="center"/>
        <w:rPr>
          <w:rFonts w:ascii="Times New Roman" w:hAnsi="Times New Roman" w:cs="Times New Roman"/>
          <w:lang w:val="en-GB"/>
        </w:rPr>
      </w:pPr>
      <w:bookmarkStart w:id="9" w:name="_Toc188348251"/>
      <w:r w:rsidRPr="007A5C5F">
        <w:rPr>
          <w:rFonts w:ascii="Times New Roman" w:hAnsi="Times New Roman" w:cs="Times New Roman"/>
          <w:lang w:val="en-GB"/>
        </w:rPr>
        <w:lastRenderedPageBreak/>
        <w:t>Description of the intervention</w:t>
      </w:r>
      <w:bookmarkEnd w:id="9"/>
      <w:r w:rsidRPr="007A5C5F">
        <w:rPr>
          <w:rFonts w:ascii="Times New Roman" w:hAnsi="Times New Roman" w:cs="Times New Roman"/>
          <w:lang w:val="en-GB"/>
        </w:rPr>
        <w:t xml:space="preserve"> </w:t>
      </w:r>
    </w:p>
    <w:p w14:paraId="076CBA9B" w14:textId="77777777" w:rsidR="00EA79BF" w:rsidRPr="007A5C5F" w:rsidRDefault="00EA79BF" w:rsidP="00EA79BF">
      <w:pPr>
        <w:jc w:val="both"/>
        <w:rPr>
          <w:sz w:val="22"/>
          <w:szCs w:val="22"/>
          <w:lang w:val="en-GB"/>
        </w:rPr>
      </w:pPr>
      <w:r w:rsidRPr="007A5C5F">
        <w:rPr>
          <w:sz w:val="22"/>
          <w:szCs w:val="22"/>
          <w:lang w:val="en-GB"/>
        </w:rPr>
        <w:t xml:space="preserve">The </w:t>
      </w:r>
      <w:r w:rsidRPr="007A5C5F">
        <w:rPr>
          <w:b/>
          <w:sz w:val="22"/>
          <w:szCs w:val="22"/>
          <w:lang w:val="en-GB"/>
        </w:rPr>
        <w:t>Sri Lanka Support to Justice Sector (JURE) Project</w:t>
      </w:r>
      <w:r>
        <w:rPr>
          <w:b/>
          <w:sz w:val="22"/>
          <w:szCs w:val="22"/>
          <w:lang w:val="en-GB"/>
        </w:rPr>
        <w:t>,</w:t>
      </w:r>
      <w:r w:rsidRPr="007A5C5F">
        <w:rPr>
          <w:b/>
          <w:sz w:val="22"/>
          <w:szCs w:val="22"/>
          <w:lang w:val="en-GB"/>
        </w:rPr>
        <w:t xml:space="preserve"> </w:t>
      </w:r>
      <w:r w:rsidRPr="007A5C5F">
        <w:rPr>
          <w:sz w:val="22"/>
          <w:szCs w:val="22"/>
          <w:lang w:val="en-GB"/>
        </w:rPr>
        <w:t>funded by the European Union</w:t>
      </w:r>
      <w:r>
        <w:rPr>
          <w:sz w:val="22"/>
          <w:szCs w:val="22"/>
          <w:lang w:val="en-GB"/>
        </w:rPr>
        <w:t>,</w:t>
      </w:r>
      <w:r w:rsidRPr="007A5C5F">
        <w:rPr>
          <w:sz w:val="22"/>
          <w:szCs w:val="22"/>
          <w:lang w:val="en-GB"/>
        </w:rPr>
        <w:t xml:space="preserve"> is a strategic initiative aimed at enhancing the independence, accountability, and efficiency of Sri Lanka’s justice system. It seeks to address long-standing challenges within the sector, with a focus on improving access to justice for vulnerable groups, ensuring greater transparency, and increasing the system's overall responsiveness. The programme is closely aligned with the country’s national reform agendas and international commitments, including the Sustainable Development Goals (SDGs), particularly SDG 16, which promotes peace, justice, and strong institutions.</w:t>
      </w:r>
    </w:p>
    <w:p w14:paraId="713F88D9" w14:textId="77777777" w:rsidR="00EA79BF" w:rsidRPr="007A5C5F" w:rsidRDefault="00EA79BF" w:rsidP="00EA79BF">
      <w:pPr>
        <w:jc w:val="both"/>
        <w:rPr>
          <w:sz w:val="22"/>
          <w:szCs w:val="22"/>
          <w:lang w:val="en-GB"/>
        </w:rPr>
      </w:pPr>
    </w:p>
    <w:p w14:paraId="2D71E40B" w14:textId="77777777" w:rsidR="00EA79BF" w:rsidRPr="007A5C5F" w:rsidRDefault="00EA79BF" w:rsidP="00EA79BF">
      <w:pPr>
        <w:jc w:val="both"/>
        <w:rPr>
          <w:b/>
          <w:sz w:val="22"/>
          <w:szCs w:val="22"/>
          <w:lang w:val="en-GB"/>
        </w:rPr>
      </w:pPr>
      <w:r w:rsidRPr="007A5C5F">
        <w:rPr>
          <w:b/>
          <w:sz w:val="22"/>
          <w:szCs w:val="22"/>
          <w:lang w:val="en-GB"/>
        </w:rPr>
        <w:t>Overall Objective:</w:t>
      </w:r>
    </w:p>
    <w:p w14:paraId="0546538A" w14:textId="77777777" w:rsidR="00EA79BF" w:rsidRPr="007A5C5F" w:rsidRDefault="00EA79BF" w:rsidP="00EA79BF">
      <w:pPr>
        <w:jc w:val="both"/>
        <w:rPr>
          <w:sz w:val="22"/>
          <w:szCs w:val="22"/>
          <w:lang w:val="en-GB"/>
        </w:rPr>
      </w:pPr>
      <w:r w:rsidRPr="007A5C5F">
        <w:rPr>
          <w:sz w:val="22"/>
          <w:szCs w:val="22"/>
          <w:lang w:val="en-GB"/>
        </w:rPr>
        <w:t>The overarching objective of the JURE programme is to contribute to a more independent, accountable, and responsive justice system in Sri Lanka. The intervention is designed to create a justice system that is more inclusive, effective, and accessible, particularly for women, marginalized populations, and other vulnerable groups. This objective supports Sri Lanka’s broader development agenda and is aligned with international best practices.</w:t>
      </w:r>
    </w:p>
    <w:p w14:paraId="75FF8AEE" w14:textId="77777777" w:rsidR="00EA79BF" w:rsidRPr="007A5C5F" w:rsidRDefault="00EA79BF" w:rsidP="00EA79BF">
      <w:pPr>
        <w:jc w:val="both"/>
        <w:rPr>
          <w:sz w:val="22"/>
          <w:szCs w:val="22"/>
          <w:lang w:val="en-GB"/>
        </w:rPr>
      </w:pPr>
    </w:p>
    <w:p w14:paraId="6781B655" w14:textId="77777777" w:rsidR="00EA79BF" w:rsidRPr="007A5C5F" w:rsidRDefault="00EA79BF" w:rsidP="00EA79BF">
      <w:pPr>
        <w:rPr>
          <w:b/>
          <w:sz w:val="22"/>
          <w:szCs w:val="22"/>
          <w:lang w:val="en-GB"/>
        </w:rPr>
      </w:pPr>
      <w:r w:rsidRPr="007A5C5F">
        <w:rPr>
          <w:b/>
          <w:sz w:val="22"/>
          <w:szCs w:val="22"/>
          <w:lang w:val="en-GB"/>
        </w:rPr>
        <w:t>Key Outcomes and Outputs:</w:t>
      </w:r>
    </w:p>
    <w:p w14:paraId="763CCE0A" w14:textId="77777777" w:rsidR="00EA79BF" w:rsidRPr="007A5C5F" w:rsidRDefault="00EA79BF" w:rsidP="00EA79BF">
      <w:pPr>
        <w:rPr>
          <w:b/>
          <w:sz w:val="22"/>
          <w:szCs w:val="22"/>
          <w:lang w:val="en-GB"/>
        </w:rPr>
      </w:pPr>
    </w:p>
    <w:p w14:paraId="15B95CCE" w14:textId="77777777" w:rsidR="00EA79BF" w:rsidRPr="007A5C5F" w:rsidRDefault="00EA79BF" w:rsidP="00EA79BF">
      <w:pPr>
        <w:rPr>
          <w:sz w:val="22"/>
          <w:szCs w:val="22"/>
          <w:lang w:val="en-GB"/>
        </w:rPr>
      </w:pPr>
      <w:r w:rsidRPr="007A5C5F">
        <w:rPr>
          <w:b/>
          <w:sz w:val="22"/>
          <w:szCs w:val="22"/>
          <w:lang w:val="en-GB"/>
        </w:rPr>
        <w:t>Outcome 1: Enhanced Access to Justice for All</w:t>
      </w:r>
    </w:p>
    <w:p w14:paraId="032A1864" w14:textId="77777777" w:rsidR="00EA79BF" w:rsidRPr="007A5C5F" w:rsidRDefault="00EA79BF" w:rsidP="00EA79BF">
      <w:pPr>
        <w:numPr>
          <w:ilvl w:val="1"/>
          <w:numId w:val="194"/>
        </w:numPr>
        <w:rPr>
          <w:sz w:val="22"/>
          <w:szCs w:val="22"/>
          <w:lang w:val="en-GB"/>
        </w:rPr>
      </w:pPr>
      <w:r w:rsidRPr="007A5C5F">
        <w:rPr>
          <w:b/>
          <w:sz w:val="22"/>
          <w:szCs w:val="22"/>
          <w:lang w:val="en-GB"/>
        </w:rPr>
        <w:t>Output 1.1</w:t>
      </w:r>
      <w:r w:rsidRPr="007A5C5F">
        <w:rPr>
          <w:sz w:val="22"/>
          <w:szCs w:val="22"/>
          <w:lang w:val="en-GB"/>
        </w:rPr>
        <w:t>: Strengthening legal aid services, particularly for vulnerable communities such as women, persons with disabilities, and children.</w:t>
      </w:r>
    </w:p>
    <w:p w14:paraId="00F667BC" w14:textId="77777777" w:rsidR="00EA79BF" w:rsidRPr="007A5C5F" w:rsidRDefault="00EA79BF" w:rsidP="00EA79BF">
      <w:pPr>
        <w:numPr>
          <w:ilvl w:val="1"/>
          <w:numId w:val="194"/>
        </w:numPr>
        <w:rPr>
          <w:sz w:val="22"/>
          <w:szCs w:val="22"/>
          <w:lang w:val="en-GB"/>
        </w:rPr>
      </w:pPr>
      <w:r w:rsidRPr="007A5C5F">
        <w:rPr>
          <w:b/>
          <w:sz w:val="22"/>
          <w:szCs w:val="22"/>
          <w:lang w:val="en-GB"/>
        </w:rPr>
        <w:t>Output 1.2</w:t>
      </w:r>
      <w:r w:rsidRPr="007A5C5F">
        <w:rPr>
          <w:sz w:val="22"/>
          <w:szCs w:val="22"/>
          <w:lang w:val="en-GB"/>
        </w:rPr>
        <w:t>: Promoting equal access to justice through language mainstreaming across the sector, ensuring that all citizens can engage with the legal system in their preferred language.</w:t>
      </w:r>
    </w:p>
    <w:p w14:paraId="07F63BA5" w14:textId="77777777" w:rsidR="00EA79BF" w:rsidRPr="007A5C5F" w:rsidRDefault="00EA79BF" w:rsidP="00EA79BF">
      <w:pPr>
        <w:numPr>
          <w:ilvl w:val="1"/>
          <w:numId w:val="194"/>
        </w:numPr>
        <w:rPr>
          <w:sz w:val="22"/>
          <w:szCs w:val="22"/>
          <w:lang w:val="en-GB"/>
        </w:rPr>
      </w:pPr>
      <w:r w:rsidRPr="007A5C5F">
        <w:rPr>
          <w:b/>
          <w:sz w:val="22"/>
          <w:szCs w:val="22"/>
          <w:lang w:val="en-GB"/>
        </w:rPr>
        <w:t>Output 1.3</w:t>
      </w:r>
      <w:r w:rsidRPr="007A5C5F">
        <w:rPr>
          <w:sz w:val="22"/>
          <w:szCs w:val="22"/>
          <w:lang w:val="en-GB"/>
        </w:rPr>
        <w:t>: Raising public awareness of legal rights, especially for marginalized groups, by improving legal literacy and outreach efforts.</w:t>
      </w:r>
    </w:p>
    <w:p w14:paraId="0C5AD0BA" w14:textId="77777777" w:rsidR="00EA79BF" w:rsidRPr="007A5C5F" w:rsidRDefault="00EA79BF" w:rsidP="00EA79BF">
      <w:pPr>
        <w:rPr>
          <w:sz w:val="22"/>
          <w:szCs w:val="22"/>
          <w:lang w:val="en-GB"/>
        </w:rPr>
      </w:pPr>
      <w:r w:rsidRPr="007A5C5F">
        <w:rPr>
          <w:sz w:val="22"/>
          <w:szCs w:val="22"/>
          <w:lang w:val="en-GB"/>
        </w:rPr>
        <w:t>The focus here is on making justice more accessible by expanding legal aid and ensuring that language barriers do not hinder access. Additionally, legal education and public awareness campaigns will empower vulnerable populations to seek justice and hold institutions accountable.</w:t>
      </w:r>
    </w:p>
    <w:p w14:paraId="1306213B" w14:textId="77777777" w:rsidR="00EA79BF" w:rsidRPr="007A5C5F" w:rsidRDefault="00EA79BF" w:rsidP="00EA79BF">
      <w:pPr>
        <w:rPr>
          <w:b/>
          <w:sz w:val="22"/>
          <w:szCs w:val="22"/>
          <w:lang w:val="en-GB"/>
        </w:rPr>
      </w:pPr>
    </w:p>
    <w:p w14:paraId="6D35A02A" w14:textId="77777777" w:rsidR="00EA79BF" w:rsidRPr="007A5C5F" w:rsidRDefault="00EA79BF" w:rsidP="00EA79BF">
      <w:pPr>
        <w:rPr>
          <w:sz w:val="22"/>
          <w:szCs w:val="22"/>
          <w:lang w:val="en-GB"/>
        </w:rPr>
      </w:pPr>
      <w:r w:rsidRPr="007A5C5F">
        <w:rPr>
          <w:b/>
          <w:sz w:val="22"/>
          <w:szCs w:val="22"/>
          <w:lang w:val="en-GB"/>
        </w:rPr>
        <w:t>Outcome 2: Strengthened Accountability, Transparency, and Credibility of the Justice System</w:t>
      </w:r>
    </w:p>
    <w:p w14:paraId="3D4E6573" w14:textId="77777777" w:rsidR="00EA79BF" w:rsidRPr="007A5C5F" w:rsidRDefault="00EA79BF" w:rsidP="00EA79BF">
      <w:pPr>
        <w:numPr>
          <w:ilvl w:val="1"/>
          <w:numId w:val="195"/>
        </w:numPr>
        <w:rPr>
          <w:sz w:val="22"/>
          <w:szCs w:val="22"/>
          <w:lang w:val="en-GB"/>
        </w:rPr>
      </w:pPr>
      <w:r w:rsidRPr="007A5C5F">
        <w:rPr>
          <w:b/>
          <w:sz w:val="22"/>
          <w:szCs w:val="22"/>
          <w:lang w:val="en-GB"/>
        </w:rPr>
        <w:t>Output 2.1</w:t>
      </w:r>
      <w:r w:rsidRPr="007A5C5F">
        <w:rPr>
          <w:sz w:val="22"/>
          <w:szCs w:val="22"/>
          <w:lang w:val="en-GB"/>
        </w:rPr>
        <w:t>: Improving data collection, analysis, and dissemination capacities across government institutions and civil society organizations to ensure evidence-based decision-making.</w:t>
      </w:r>
    </w:p>
    <w:p w14:paraId="0396B1F1" w14:textId="77777777" w:rsidR="00EA79BF" w:rsidRPr="007A5C5F" w:rsidRDefault="00EA79BF" w:rsidP="00EA79BF">
      <w:pPr>
        <w:numPr>
          <w:ilvl w:val="1"/>
          <w:numId w:val="195"/>
        </w:numPr>
        <w:rPr>
          <w:sz w:val="22"/>
          <w:szCs w:val="22"/>
          <w:lang w:val="en-GB"/>
        </w:rPr>
      </w:pPr>
      <w:r w:rsidRPr="007A5C5F">
        <w:rPr>
          <w:b/>
          <w:sz w:val="22"/>
          <w:szCs w:val="22"/>
          <w:lang w:val="en-GB"/>
        </w:rPr>
        <w:t>Output 2.2</w:t>
      </w:r>
      <w:r w:rsidRPr="007A5C5F">
        <w:rPr>
          <w:sz w:val="22"/>
          <w:szCs w:val="22"/>
          <w:lang w:val="en-GB"/>
        </w:rPr>
        <w:t>: Enhancing the capacity of justice sector actors to develop and implement codes of ethics and professional conduct, thereby promoting a culture of integrity within the judiciary.</w:t>
      </w:r>
    </w:p>
    <w:p w14:paraId="473510C4" w14:textId="77777777" w:rsidR="00EA79BF" w:rsidRPr="007A5C5F" w:rsidRDefault="00EA79BF" w:rsidP="00EA79BF">
      <w:pPr>
        <w:numPr>
          <w:ilvl w:val="1"/>
          <w:numId w:val="195"/>
        </w:numPr>
        <w:rPr>
          <w:sz w:val="22"/>
          <w:szCs w:val="22"/>
          <w:lang w:val="en-GB"/>
        </w:rPr>
      </w:pPr>
      <w:r w:rsidRPr="007A5C5F">
        <w:rPr>
          <w:b/>
          <w:sz w:val="22"/>
          <w:szCs w:val="22"/>
          <w:lang w:val="en-GB"/>
        </w:rPr>
        <w:t>Output 2.3</w:t>
      </w:r>
      <w:r w:rsidRPr="007A5C5F">
        <w:rPr>
          <w:sz w:val="22"/>
          <w:szCs w:val="22"/>
          <w:lang w:val="en-GB"/>
        </w:rPr>
        <w:t>: Strengthening the independence and capabilities of oversight bodies, such as the Human Rights Commission and National Police Commission, to ensure they can effectively fulfil their mandates.</w:t>
      </w:r>
    </w:p>
    <w:p w14:paraId="59D0FB1B" w14:textId="77777777" w:rsidR="00EA79BF" w:rsidRPr="007A5C5F" w:rsidRDefault="00EA79BF" w:rsidP="00EA79BF">
      <w:pPr>
        <w:rPr>
          <w:sz w:val="22"/>
          <w:szCs w:val="22"/>
          <w:lang w:val="en-GB"/>
        </w:rPr>
      </w:pPr>
      <w:r w:rsidRPr="007A5C5F">
        <w:rPr>
          <w:sz w:val="22"/>
          <w:szCs w:val="22"/>
          <w:lang w:val="en-GB"/>
        </w:rPr>
        <w:t>This outcome aims to build a more accountable and transparent justice system by enhancing data-driven processes, professionalizing the judiciary, and empowering independent institutions to monitor and regulate the sector effectively.</w:t>
      </w:r>
    </w:p>
    <w:p w14:paraId="413E14B9" w14:textId="77777777" w:rsidR="00EA79BF" w:rsidRPr="007A5C5F" w:rsidRDefault="00EA79BF" w:rsidP="00EA79BF">
      <w:pPr>
        <w:rPr>
          <w:sz w:val="22"/>
          <w:szCs w:val="22"/>
          <w:lang w:val="en-GB"/>
        </w:rPr>
      </w:pPr>
    </w:p>
    <w:p w14:paraId="05ADD5DA" w14:textId="77777777" w:rsidR="00EA79BF" w:rsidRPr="007A5C5F" w:rsidRDefault="00EA79BF" w:rsidP="00EA79BF">
      <w:pPr>
        <w:rPr>
          <w:sz w:val="22"/>
          <w:szCs w:val="22"/>
          <w:lang w:val="en-GB"/>
        </w:rPr>
      </w:pPr>
      <w:r w:rsidRPr="007A5C5F">
        <w:rPr>
          <w:b/>
          <w:sz w:val="22"/>
          <w:szCs w:val="22"/>
          <w:lang w:val="en-GB"/>
        </w:rPr>
        <w:t>Outcome 3: Increased Efficiency and Quality of Justice</w:t>
      </w:r>
    </w:p>
    <w:p w14:paraId="78F1BB19" w14:textId="77777777" w:rsidR="00EA79BF" w:rsidRPr="007A5C5F" w:rsidRDefault="00EA79BF" w:rsidP="00EA79BF">
      <w:pPr>
        <w:numPr>
          <w:ilvl w:val="1"/>
          <w:numId w:val="196"/>
        </w:numPr>
        <w:rPr>
          <w:sz w:val="22"/>
          <w:szCs w:val="22"/>
          <w:lang w:val="en-GB"/>
        </w:rPr>
      </w:pPr>
      <w:r w:rsidRPr="007A5C5F">
        <w:rPr>
          <w:b/>
          <w:sz w:val="22"/>
          <w:szCs w:val="22"/>
          <w:lang w:val="en-GB"/>
        </w:rPr>
        <w:t>Output 3.1</w:t>
      </w:r>
      <w:r w:rsidRPr="007A5C5F">
        <w:rPr>
          <w:sz w:val="22"/>
          <w:szCs w:val="22"/>
          <w:lang w:val="en-GB"/>
        </w:rPr>
        <w:t>: Expanding child justice services to ensure age-appropriate, rights-based legal processes for children in contact with the law.</w:t>
      </w:r>
    </w:p>
    <w:p w14:paraId="6CA3A30B" w14:textId="77777777" w:rsidR="00EA79BF" w:rsidRPr="007A5C5F" w:rsidRDefault="00EA79BF" w:rsidP="00EA79BF">
      <w:pPr>
        <w:numPr>
          <w:ilvl w:val="1"/>
          <w:numId w:val="196"/>
        </w:numPr>
        <w:rPr>
          <w:sz w:val="22"/>
          <w:szCs w:val="22"/>
          <w:lang w:val="en-GB"/>
        </w:rPr>
      </w:pPr>
      <w:r w:rsidRPr="007A5C5F">
        <w:rPr>
          <w:b/>
          <w:sz w:val="22"/>
          <w:szCs w:val="22"/>
          <w:lang w:val="en-GB"/>
        </w:rPr>
        <w:t>Output 3.2</w:t>
      </w:r>
      <w:r w:rsidRPr="007A5C5F">
        <w:rPr>
          <w:sz w:val="22"/>
          <w:szCs w:val="22"/>
          <w:lang w:val="en-GB"/>
        </w:rPr>
        <w:t>: Supporting legal reforms that are in line with international norms and best practices, ensuring that Sri Lanka’s legal framework is modernized and robust.</w:t>
      </w:r>
    </w:p>
    <w:p w14:paraId="5CB2CBAA" w14:textId="77777777" w:rsidR="00EA79BF" w:rsidRPr="007A5C5F" w:rsidRDefault="00EA79BF" w:rsidP="00EA79BF">
      <w:pPr>
        <w:numPr>
          <w:ilvl w:val="1"/>
          <w:numId w:val="196"/>
        </w:numPr>
        <w:rPr>
          <w:sz w:val="22"/>
          <w:szCs w:val="22"/>
          <w:lang w:val="en-GB"/>
        </w:rPr>
      </w:pPr>
      <w:r w:rsidRPr="007A5C5F">
        <w:rPr>
          <w:b/>
          <w:sz w:val="22"/>
          <w:szCs w:val="22"/>
          <w:lang w:val="en-GB"/>
        </w:rPr>
        <w:t>Output 3.3</w:t>
      </w:r>
      <w:r w:rsidRPr="007A5C5F">
        <w:rPr>
          <w:sz w:val="22"/>
          <w:szCs w:val="22"/>
          <w:lang w:val="en-GB"/>
        </w:rPr>
        <w:t>: Enhancing the technical, administrative, and digital capacities of justice institutions to streamline processes, reduce case backlogs, and improve service delivery.</w:t>
      </w:r>
    </w:p>
    <w:p w14:paraId="523C1D89" w14:textId="77777777" w:rsidR="00EA79BF" w:rsidRPr="007A5C5F" w:rsidRDefault="00EA79BF" w:rsidP="00EA79BF">
      <w:pPr>
        <w:numPr>
          <w:ilvl w:val="1"/>
          <w:numId w:val="196"/>
        </w:numPr>
        <w:rPr>
          <w:sz w:val="22"/>
          <w:szCs w:val="22"/>
          <w:lang w:val="en-GB"/>
        </w:rPr>
      </w:pPr>
      <w:r w:rsidRPr="007A5C5F">
        <w:rPr>
          <w:b/>
          <w:sz w:val="22"/>
          <w:szCs w:val="22"/>
          <w:lang w:val="en-GB"/>
        </w:rPr>
        <w:t>Output 3.4</w:t>
      </w:r>
      <w:r w:rsidRPr="007A5C5F">
        <w:rPr>
          <w:sz w:val="22"/>
          <w:szCs w:val="22"/>
          <w:lang w:val="en-GB"/>
        </w:rPr>
        <w:t>: Strengthening alternative dispute resolution (ADR) mechanisms to expedite commercial and civil cases, making the justice system more efficient and investor-friendly.</w:t>
      </w:r>
    </w:p>
    <w:p w14:paraId="6745F65F" w14:textId="77777777" w:rsidR="00EA79BF" w:rsidRPr="007A5C5F" w:rsidRDefault="00EA79BF" w:rsidP="00EA79BF">
      <w:pPr>
        <w:rPr>
          <w:sz w:val="22"/>
          <w:szCs w:val="22"/>
          <w:lang w:val="en-GB"/>
        </w:rPr>
      </w:pPr>
      <w:r w:rsidRPr="007A5C5F">
        <w:rPr>
          <w:sz w:val="22"/>
          <w:szCs w:val="22"/>
          <w:lang w:val="en-GB"/>
        </w:rPr>
        <w:t xml:space="preserve">By focusing on efficiency and quality, this outcome addresses the need for faster, more responsive justice system processes. It also addresses aspects of improving </w:t>
      </w:r>
      <w:r>
        <w:rPr>
          <w:sz w:val="22"/>
          <w:szCs w:val="22"/>
          <w:lang w:val="en-GB"/>
        </w:rPr>
        <w:t xml:space="preserve">the </w:t>
      </w:r>
      <w:r w:rsidRPr="007A5C5F">
        <w:rPr>
          <w:sz w:val="22"/>
          <w:szCs w:val="22"/>
          <w:lang w:val="en-GB"/>
        </w:rPr>
        <w:t xml:space="preserve">quality of the justice process, including considerations of child sensitivity and age appropriateness of the justice response. Digitalization and ADR </w:t>
      </w:r>
      <w:r w:rsidRPr="007A5C5F">
        <w:rPr>
          <w:sz w:val="22"/>
          <w:szCs w:val="22"/>
          <w:lang w:val="en-GB"/>
        </w:rPr>
        <w:lastRenderedPageBreak/>
        <w:t>mechanisms are seen as key strategies for reducing delays and improving the overall functioning of the system.</w:t>
      </w:r>
    </w:p>
    <w:p w14:paraId="0209800B" w14:textId="77777777" w:rsidR="00EA79BF" w:rsidRPr="007A5C5F" w:rsidRDefault="00EA79BF" w:rsidP="00EA79BF">
      <w:pPr>
        <w:pStyle w:val="Heading2"/>
        <w:rPr>
          <w:rFonts w:ascii="Times New Roman" w:eastAsia="Times New Roman" w:hAnsi="Times New Roman" w:cs="Times New Roman"/>
          <w:sz w:val="22"/>
          <w:szCs w:val="22"/>
          <w:lang w:val="en-GB"/>
        </w:rPr>
      </w:pPr>
      <w:bookmarkStart w:id="10" w:name="_Toc179992317"/>
      <w:bookmarkStart w:id="11" w:name="_Toc188348252"/>
      <w:r w:rsidRPr="007A5C5F">
        <w:rPr>
          <w:rFonts w:ascii="Times New Roman" w:eastAsia="Times New Roman" w:hAnsi="Times New Roman" w:cs="Times New Roman"/>
          <w:sz w:val="22"/>
          <w:szCs w:val="22"/>
          <w:lang w:val="en-GB"/>
        </w:rPr>
        <w:t>Intervention logic of the project</w:t>
      </w:r>
      <w:bookmarkEnd w:id="10"/>
      <w:bookmarkEnd w:id="11"/>
    </w:p>
    <w:p w14:paraId="4181DE31" w14:textId="77777777" w:rsidR="00EA79BF" w:rsidRPr="007A5C5F" w:rsidRDefault="00EA79BF" w:rsidP="00EA79BF">
      <w:pPr>
        <w:rPr>
          <w:b/>
          <w:sz w:val="22"/>
          <w:szCs w:val="22"/>
          <w:lang w:val="en-GB"/>
        </w:rPr>
      </w:pPr>
      <w:r w:rsidRPr="007A5C5F">
        <w:rPr>
          <w:b/>
          <w:sz w:val="22"/>
          <w:szCs w:val="22"/>
          <w:lang w:val="en-GB"/>
        </w:rPr>
        <w:t>Theory of Change.</w:t>
      </w:r>
    </w:p>
    <w:p w14:paraId="2E35E07C" w14:textId="77777777" w:rsidR="00EA79BF" w:rsidRPr="007A5C5F" w:rsidRDefault="00EA79BF" w:rsidP="00EA79BF">
      <w:pPr>
        <w:jc w:val="both"/>
        <w:rPr>
          <w:sz w:val="22"/>
          <w:szCs w:val="22"/>
          <w:lang w:val="en-GB"/>
        </w:rPr>
      </w:pPr>
      <w:r w:rsidRPr="007A5C5F">
        <w:rPr>
          <w:sz w:val="22"/>
          <w:szCs w:val="22"/>
          <w:lang w:val="en-GB"/>
        </w:rPr>
        <w:t xml:space="preserve">The intervention logic of the JURE programme reflects a comprehensive, well-coordinated approach to justice sector reform in Sri Lanka. Through targeted actions that address access, accountability, and efficiency, the programme aims to create a justice system that is fairer, more transparent, and better equipped to serve all citizens, particularly the most vulnerable. By fostering collaboration between national and international actors and by embedding reforms within existing structures, the programme is designed to create lasting, transformative change in Sri Lanka’s justice sector. The JURE programme is built on the premise that reforming Sri Lanka’s justice system requires a multi-faceted approach that addresses both structural issues and </w:t>
      </w:r>
      <w:r>
        <w:rPr>
          <w:sz w:val="22"/>
          <w:szCs w:val="22"/>
          <w:lang w:val="en-GB"/>
        </w:rPr>
        <w:t xml:space="preserve">the </w:t>
      </w:r>
      <w:r w:rsidRPr="007A5C5F">
        <w:rPr>
          <w:sz w:val="22"/>
          <w:szCs w:val="22"/>
          <w:lang w:val="en-GB"/>
        </w:rPr>
        <w:t xml:space="preserve">specific needs of vulnerable populations. </w:t>
      </w:r>
      <w:r w:rsidRPr="00620659">
        <w:rPr>
          <w:sz w:val="22"/>
          <w:szCs w:val="22"/>
          <w:u w:val="single"/>
          <w:lang w:val="en-GB"/>
        </w:rPr>
        <w:t>The logic behind the intervention is that by improving access, accountability, and efficiency, the programme will not only enhance the public's trust in the justice system but also contribute to broader socio-economic development</w:t>
      </w:r>
      <w:r w:rsidRPr="007A5C5F">
        <w:rPr>
          <w:sz w:val="22"/>
          <w:szCs w:val="22"/>
          <w:lang w:val="en-GB"/>
        </w:rPr>
        <w:t xml:space="preserve">. By prioritizing gender sensitivity, child protection, and inclusivity, the programme aims to foster a more equitable justice system. Furthermore, </w:t>
      </w:r>
      <w:proofErr w:type="gramStart"/>
      <w:r w:rsidRPr="007A5C5F">
        <w:rPr>
          <w:sz w:val="22"/>
          <w:szCs w:val="22"/>
          <w:lang w:val="en-GB"/>
        </w:rPr>
        <w:t>through the use of</w:t>
      </w:r>
      <w:proofErr w:type="gramEnd"/>
      <w:r w:rsidRPr="007A5C5F">
        <w:rPr>
          <w:sz w:val="22"/>
          <w:szCs w:val="22"/>
          <w:lang w:val="en-GB"/>
        </w:rPr>
        <w:t xml:space="preserve"> data-driven reforms, digital innovations, and capacity building, the programme seeks to create long-term, sustainable changes that will outlast the project’s implementation period. The reconstructed ToC postulate is formulated as follows:</w:t>
      </w:r>
    </w:p>
    <w:p w14:paraId="63F1C7FE" w14:textId="77777777" w:rsidR="00EA79BF" w:rsidRPr="007A5C5F" w:rsidRDefault="00EA79BF" w:rsidP="00EA79BF">
      <w:pPr>
        <w:rPr>
          <w:sz w:val="22"/>
          <w:szCs w:val="22"/>
          <w:lang w:val="en-GB"/>
        </w:rPr>
      </w:pPr>
    </w:p>
    <w:p w14:paraId="4D923809" w14:textId="77777777" w:rsidR="00EA79BF" w:rsidRPr="007A5C5F" w:rsidRDefault="00EA79BF" w:rsidP="00EA79BF">
      <w:pPr>
        <w:jc w:val="center"/>
        <w:rPr>
          <w:i/>
          <w:color w:val="000000" w:themeColor="text1"/>
          <w:sz w:val="22"/>
          <w:szCs w:val="2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5C5F">
        <w:rPr>
          <w:bCs/>
          <w:i/>
          <w:color w:val="000000" w:themeColor="text1"/>
          <w:sz w:val="22"/>
          <w:szCs w:val="2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r w:rsidRPr="007A5C5F">
        <w:rPr>
          <w:i/>
          <w:color w:val="000000" w:themeColor="text1"/>
          <w:sz w:val="22"/>
          <w:szCs w:val="2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 the JURE programme strengthens the capacity of justice institutions to deliver accessible, efficient, and transparent legal services, and it ensures that marginalized and vulnerable groups, particularly women and children, have improved access to legal representation and rights-based protection, then the overall accountability, efficiency, and inclusivity of Sri Lanka’s justice system will be significantly enhanced, because addressing institutional capacity gaps, improving access to justice, and promoting legal reforms aligned with international standards will lead to a more equitable and responsive justice system that meets the needs of all citizens.</w:t>
      </w:r>
    </w:p>
    <w:p w14:paraId="7D7C8629" w14:textId="77777777" w:rsidR="00EA79BF" w:rsidRPr="007A5C5F" w:rsidRDefault="00EA79BF" w:rsidP="00EA79BF">
      <w:pPr>
        <w:jc w:val="center"/>
        <w:rPr>
          <w:i/>
          <w:color w:val="000000" w:themeColor="text1"/>
          <w:sz w:val="22"/>
          <w:szCs w:val="2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70E2513" w14:textId="68F8B57D" w:rsidR="00EA79BF" w:rsidRPr="007A5C5F" w:rsidRDefault="00EA79BF" w:rsidP="00EA79BF">
      <w:pPr>
        <w:jc w:val="both"/>
        <w:rPr>
          <w:sz w:val="22"/>
          <w:szCs w:val="22"/>
          <w:lang w:val="en-GB"/>
        </w:rPr>
      </w:pPr>
      <w:r w:rsidRPr="007A5C5F">
        <w:rPr>
          <w:b/>
          <w:sz w:val="22"/>
          <w:szCs w:val="22"/>
          <w:lang w:val="en-GB"/>
        </w:rPr>
        <w:t xml:space="preserve">Strategic Alignment and Synergies: </w:t>
      </w:r>
      <w:r w:rsidRPr="007A5C5F">
        <w:rPr>
          <w:sz w:val="22"/>
          <w:szCs w:val="22"/>
          <w:lang w:val="en-GB"/>
        </w:rPr>
        <w:t xml:space="preserve">The JURE programme is closely aligned with Sri Lanka’s national policies, including the </w:t>
      </w:r>
      <w:r w:rsidR="0089398C">
        <w:rPr>
          <w:sz w:val="22"/>
          <w:szCs w:val="22"/>
          <w:lang w:val="en-GB"/>
        </w:rPr>
        <w:t xml:space="preserve">former </w:t>
      </w:r>
      <w:r w:rsidRPr="007A5C5F">
        <w:rPr>
          <w:sz w:val="22"/>
          <w:szCs w:val="22"/>
          <w:lang w:val="en-GB"/>
        </w:rPr>
        <w:t xml:space="preserve">President’s "Vistas of Prosperity and Splendour" manifesto, the Ministry of Justice’s Legal Reform Agenda, and several national </w:t>
      </w:r>
      <w:proofErr w:type="gramStart"/>
      <w:r w:rsidRPr="007A5C5F">
        <w:rPr>
          <w:sz w:val="22"/>
          <w:szCs w:val="22"/>
          <w:lang w:val="en-GB"/>
        </w:rPr>
        <w:t>action</w:t>
      </w:r>
      <w:proofErr w:type="gramEnd"/>
      <w:r w:rsidRPr="007A5C5F">
        <w:rPr>
          <w:sz w:val="22"/>
          <w:szCs w:val="22"/>
          <w:lang w:val="en-GB"/>
        </w:rPr>
        <w:t xml:space="preserve"> plans addressing human rights, legal aid, gender-based violence, and child protection. The programme also builds on nearly two decades of collaboration between the European Union, UNDP, and UNICEF in Sri Lanka’s justice sector.</w:t>
      </w:r>
      <w:r w:rsidRPr="007A5C5F">
        <w:rPr>
          <w:b/>
          <w:sz w:val="22"/>
          <w:szCs w:val="22"/>
          <w:lang w:val="en-GB"/>
        </w:rPr>
        <w:t xml:space="preserve"> </w:t>
      </w:r>
      <w:r w:rsidRPr="007A5C5F">
        <w:rPr>
          <w:sz w:val="22"/>
          <w:szCs w:val="22"/>
          <w:lang w:val="en-GB"/>
        </w:rPr>
        <w:t xml:space="preserve">Additionally, the programme’s design incorporates lessons learned from previous justice sector reforms, particularly in legal aid, victim protection, and community mediation. </w:t>
      </w:r>
      <w:r w:rsidR="00393438">
        <w:rPr>
          <w:sz w:val="22"/>
          <w:szCs w:val="22"/>
          <w:lang w:val="en-GB"/>
        </w:rPr>
        <w:t xml:space="preserve">For example, </w:t>
      </w:r>
      <w:r w:rsidR="00393438" w:rsidRPr="00393438">
        <w:rPr>
          <w:sz w:val="22"/>
          <w:szCs w:val="22"/>
        </w:rPr>
        <w:t>UNDP's support for justice and rule of law reforms in Sri Lanka has strengthened legal frameworks, enhanced access to justice, and improved protections for victims and witnesses. Key contributions include the formulation of the National Policy on Legal Aid, consolidation of core legislation with official Tamil translations, and reforms in sentencing and penal policies. Efforts to combat SGBV were reinforced through the National Plan of Action, expanded legal aid, and improved referral systems. Additionally, institutional strengthening, including support for the police and Women and Child Police Bureau, aimed to reduce re-victimization and enhance justice system efficiency.</w:t>
      </w:r>
      <w:r w:rsidR="00393438" w:rsidRPr="007A5C5F">
        <w:rPr>
          <w:sz w:val="22"/>
          <w:szCs w:val="22"/>
          <w:lang w:val="en-GB"/>
        </w:rPr>
        <w:t xml:space="preserve"> </w:t>
      </w:r>
      <w:r w:rsidR="00393438" w:rsidRPr="00393438">
        <w:rPr>
          <w:sz w:val="22"/>
          <w:szCs w:val="22"/>
        </w:rPr>
        <w:t xml:space="preserve">UNICEF’s interventions build on established successes by leveraging its long-standing expertise in child rights protection and its collaboration with national institutions. With over 45 years of experience in Sri Lanka, UNICEF has strengthened justice sector capacities through legislative reforms, institutional support, and capacity-building for law enforcement and judicial personnel. By working with government agencies and civil society, UNICEF has promoted specialized courts, child-friendly legal procedures, and alternatives to detention, reinforcing previous efforts to enhance justice for </w:t>
      </w:r>
      <w:r w:rsidR="00EC57B7" w:rsidRPr="00393438">
        <w:rPr>
          <w:sz w:val="22"/>
          <w:szCs w:val="22"/>
        </w:rPr>
        <w:t>children</w:t>
      </w:r>
      <w:r w:rsidR="00EC57B7">
        <w:rPr>
          <w:sz w:val="22"/>
          <w:szCs w:val="22"/>
        </w:rPr>
        <w:t>.</w:t>
      </w:r>
      <w:r w:rsidR="00EC57B7" w:rsidRPr="007A5C5F">
        <w:rPr>
          <w:sz w:val="22"/>
          <w:szCs w:val="22"/>
          <w:lang w:val="en-GB"/>
        </w:rPr>
        <w:t xml:space="preserve"> The</w:t>
      </w:r>
      <w:r w:rsidR="00393438">
        <w:rPr>
          <w:sz w:val="22"/>
          <w:szCs w:val="22"/>
          <w:lang w:val="en-GB"/>
        </w:rPr>
        <w:t xml:space="preserve"> combined </w:t>
      </w:r>
      <w:r w:rsidR="00EC57B7">
        <w:rPr>
          <w:sz w:val="22"/>
          <w:szCs w:val="22"/>
          <w:lang w:val="en-GB"/>
        </w:rPr>
        <w:t>experience</w:t>
      </w:r>
      <w:r w:rsidR="00393438">
        <w:rPr>
          <w:sz w:val="22"/>
          <w:szCs w:val="22"/>
          <w:lang w:val="en-GB"/>
        </w:rPr>
        <w:t xml:space="preserve"> of these two UN agencies </w:t>
      </w:r>
      <w:r w:rsidRPr="007A5C5F">
        <w:rPr>
          <w:sz w:val="22"/>
          <w:szCs w:val="22"/>
          <w:lang w:val="en-GB"/>
        </w:rPr>
        <w:t>ensure</w:t>
      </w:r>
      <w:r w:rsidR="00393438">
        <w:rPr>
          <w:sz w:val="22"/>
          <w:szCs w:val="22"/>
          <w:lang w:val="en-GB"/>
        </w:rPr>
        <w:t>d</w:t>
      </w:r>
      <w:r w:rsidRPr="007A5C5F">
        <w:rPr>
          <w:sz w:val="22"/>
          <w:szCs w:val="22"/>
          <w:lang w:val="en-GB"/>
        </w:rPr>
        <w:t xml:space="preserve"> that the interventions build on established successes and leverage existing capacities.</w:t>
      </w:r>
    </w:p>
    <w:p w14:paraId="0B029E35" w14:textId="28576F21" w:rsidR="00EA79BF" w:rsidRPr="007A5C5F" w:rsidRDefault="00EA79BF" w:rsidP="00EA79BF">
      <w:pPr>
        <w:jc w:val="both"/>
        <w:rPr>
          <w:b/>
          <w:sz w:val="22"/>
          <w:szCs w:val="22"/>
          <w:lang w:val="en-GB"/>
        </w:rPr>
      </w:pPr>
      <w:r w:rsidRPr="007A5C5F">
        <w:rPr>
          <w:b/>
          <w:sz w:val="22"/>
          <w:szCs w:val="22"/>
          <w:lang w:val="en-GB"/>
        </w:rPr>
        <w:t xml:space="preserve">Sustainability and Long-Term Impact: </w:t>
      </w:r>
      <w:r w:rsidRPr="007A5C5F">
        <w:rPr>
          <w:sz w:val="22"/>
          <w:szCs w:val="22"/>
          <w:lang w:val="en-GB"/>
        </w:rPr>
        <w:t>The sustainability of the JURE programme is built into its design, with a focus on institutional capacity building and the establishment of long-term mechanisms such as digital solutions and enhanced data systems. By strengthening national institutions, embedding international standards into legal reforms, and promoting local ownership of the reforms, the programme aims to ensure that its benefits continue beyond the project’s lifespan.</w:t>
      </w:r>
    </w:p>
    <w:p w14:paraId="7835D3C8" w14:textId="3D4EFBFC" w:rsidR="00EA79BF" w:rsidRPr="007A5C5F" w:rsidRDefault="00EA79BF" w:rsidP="00EA79BF">
      <w:pPr>
        <w:jc w:val="both"/>
        <w:rPr>
          <w:sz w:val="22"/>
          <w:szCs w:val="22"/>
          <w:lang w:val="en-GB"/>
        </w:rPr>
      </w:pPr>
      <w:r w:rsidRPr="007A5C5F">
        <w:rPr>
          <w:sz w:val="22"/>
          <w:szCs w:val="22"/>
          <w:lang w:val="en-GB"/>
        </w:rPr>
        <w:lastRenderedPageBreak/>
        <w:t>Digital transformation</w:t>
      </w:r>
      <w:r w:rsidR="00EC57B7" w:rsidRPr="007A5C5F">
        <w:rPr>
          <w:sz w:val="22"/>
          <w:szCs w:val="22"/>
          <w:lang w:val="en-GB"/>
        </w:rPr>
        <w:t xml:space="preserve"> is</w:t>
      </w:r>
      <w:r w:rsidRPr="007A5C5F">
        <w:rPr>
          <w:sz w:val="22"/>
          <w:szCs w:val="22"/>
          <w:lang w:val="en-GB"/>
        </w:rPr>
        <w:t xml:space="preserve"> seen as a key driver of sustainability. The project’s collaboration with the Ministry of Justice and the Information and Communication Technology Agency (ICTA) will ensure that digital solutions are embedded within the justice system, helping to reduce delays and improve service delivery.</w:t>
      </w:r>
    </w:p>
    <w:p w14:paraId="67898252" w14:textId="1A25D8D4" w:rsidR="00EA79BF" w:rsidRPr="007A5C5F" w:rsidRDefault="00EA79BF" w:rsidP="00EA79BF">
      <w:pPr>
        <w:jc w:val="both"/>
        <w:rPr>
          <w:sz w:val="22"/>
          <w:szCs w:val="22"/>
          <w:lang w:val="en-GB"/>
        </w:rPr>
      </w:pPr>
      <w:r w:rsidRPr="007A5C5F">
        <w:rPr>
          <w:sz w:val="22"/>
          <w:szCs w:val="22"/>
          <w:lang w:val="en-GB"/>
        </w:rPr>
        <w:t>The involvement of civil society, academia, and the private sector is also critical for sustainability, as these groups play a key role in holding the justice system accountable and ensuring that reforms are responsive to the needs of all citizens.</w:t>
      </w:r>
    </w:p>
    <w:p w14:paraId="215973BC" w14:textId="77777777" w:rsidR="00EA79BF" w:rsidRPr="007A5C5F" w:rsidRDefault="00EA79BF" w:rsidP="00EA79BF">
      <w:pPr>
        <w:jc w:val="both"/>
        <w:rPr>
          <w:sz w:val="22"/>
          <w:szCs w:val="22"/>
          <w:lang w:val="en-GB"/>
        </w:rPr>
      </w:pPr>
      <w:r w:rsidRPr="007A5C5F">
        <w:rPr>
          <w:sz w:val="22"/>
          <w:szCs w:val="22"/>
          <w:lang w:val="en-GB"/>
        </w:rPr>
        <w:t xml:space="preserve">The key stakeholders and partners of the </w:t>
      </w:r>
      <w:r w:rsidRPr="007A5C5F">
        <w:rPr>
          <w:b/>
          <w:sz w:val="22"/>
          <w:szCs w:val="22"/>
          <w:lang w:val="en-GB"/>
        </w:rPr>
        <w:t>EU-Sri Lanka Justice Reform (JURE) programme</w:t>
      </w:r>
      <w:r w:rsidRPr="007A5C5F">
        <w:rPr>
          <w:sz w:val="22"/>
          <w:szCs w:val="22"/>
          <w:lang w:val="en-GB"/>
        </w:rPr>
        <w:t xml:space="preserve"> include:</w:t>
      </w:r>
    </w:p>
    <w:p w14:paraId="162FCACA" w14:textId="33ECC775" w:rsidR="006C5CC9" w:rsidRPr="007A5C5F" w:rsidRDefault="00EA79BF" w:rsidP="009D22EB">
      <w:pPr>
        <w:numPr>
          <w:ilvl w:val="0"/>
          <w:numId w:val="305"/>
        </w:numPr>
        <w:jc w:val="both"/>
        <w:rPr>
          <w:sz w:val="22"/>
          <w:szCs w:val="22"/>
          <w:lang w:val="en-GB"/>
        </w:rPr>
      </w:pPr>
      <w:r w:rsidRPr="007A5C5F">
        <w:rPr>
          <w:b/>
          <w:sz w:val="22"/>
          <w:szCs w:val="22"/>
          <w:lang w:val="en-GB"/>
        </w:rPr>
        <w:t>Government and Justice Sector Institutions</w:t>
      </w:r>
      <w:r w:rsidRPr="007A5C5F">
        <w:rPr>
          <w:sz w:val="22"/>
          <w:szCs w:val="22"/>
          <w:lang w:val="en-GB"/>
        </w:rPr>
        <w:t>: This includes a wide range of institutions such as the Ministry of Justice (MoJ), Attorney General’s Department (AGD), Sri Lanka Police Department, Prisons Department, Ministry of Rehabilitation and Prison Reforms, Department of Probation and Childcare Services, National Child Protection Authority</w:t>
      </w:r>
      <w:r w:rsidR="006C5CC9">
        <w:rPr>
          <w:sz w:val="22"/>
          <w:szCs w:val="22"/>
          <w:lang w:val="en-GB"/>
        </w:rPr>
        <w:t xml:space="preserve">, </w:t>
      </w:r>
      <w:r w:rsidR="006C5CC9" w:rsidRPr="007A5C5F">
        <w:rPr>
          <w:sz w:val="22"/>
          <w:szCs w:val="22"/>
          <w:lang w:val="en-GB"/>
        </w:rPr>
        <w:t>Legal Aid Commission (LAC), and the National Authority for Victims of Crimes and Witnesses.</w:t>
      </w:r>
    </w:p>
    <w:p w14:paraId="7FB9B501" w14:textId="42836ABE" w:rsidR="00EA79BF" w:rsidRPr="007A5C5F" w:rsidRDefault="00EA79BF" w:rsidP="009D22EB">
      <w:pPr>
        <w:numPr>
          <w:ilvl w:val="0"/>
          <w:numId w:val="305"/>
        </w:numPr>
        <w:jc w:val="both"/>
        <w:rPr>
          <w:sz w:val="22"/>
          <w:szCs w:val="22"/>
          <w:lang w:val="en-GB"/>
        </w:rPr>
      </w:pPr>
      <w:r w:rsidRPr="007A5C5F">
        <w:rPr>
          <w:sz w:val="22"/>
          <w:szCs w:val="22"/>
          <w:lang w:val="en-GB"/>
        </w:rPr>
        <w:t>and more.</w:t>
      </w:r>
    </w:p>
    <w:p w14:paraId="0A1ED069" w14:textId="550C4320" w:rsidR="00393438" w:rsidRPr="007A5C5F" w:rsidRDefault="00EA79BF" w:rsidP="009D22EB">
      <w:pPr>
        <w:numPr>
          <w:ilvl w:val="0"/>
          <w:numId w:val="305"/>
        </w:numPr>
        <w:jc w:val="both"/>
        <w:rPr>
          <w:sz w:val="22"/>
          <w:szCs w:val="22"/>
          <w:lang w:val="en-GB"/>
        </w:rPr>
      </w:pPr>
      <w:r w:rsidRPr="007A5C5F">
        <w:rPr>
          <w:b/>
          <w:sz w:val="22"/>
          <w:szCs w:val="22"/>
          <w:lang w:val="en-GB"/>
        </w:rPr>
        <w:t>Independent Commissions and Institutions</w:t>
      </w:r>
      <w:r w:rsidRPr="007A5C5F">
        <w:rPr>
          <w:sz w:val="22"/>
          <w:szCs w:val="22"/>
          <w:lang w:val="en-GB"/>
        </w:rPr>
        <w:t>: These include the Human Rights Commission (HRC), National Police Commission (NPC)</w:t>
      </w:r>
      <w:r w:rsidR="006C5CC9">
        <w:rPr>
          <w:sz w:val="22"/>
          <w:szCs w:val="22"/>
          <w:lang w:val="en-GB"/>
        </w:rPr>
        <w:t>,</w:t>
      </w:r>
      <w:r w:rsidRPr="007A5C5F">
        <w:rPr>
          <w:sz w:val="22"/>
          <w:szCs w:val="22"/>
          <w:lang w:val="en-GB"/>
        </w:rPr>
        <w:t xml:space="preserve"> </w:t>
      </w:r>
      <w:r w:rsidR="006C5CC9" w:rsidRPr="007A5C5F">
        <w:rPr>
          <w:sz w:val="22"/>
          <w:szCs w:val="22"/>
          <w:lang w:val="en-GB"/>
        </w:rPr>
        <w:t>Judicial Service Commission (JSC),</w:t>
      </w:r>
      <w:r w:rsidR="006C5CC9" w:rsidRPr="00C900FD">
        <w:rPr>
          <w:sz w:val="22"/>
          <w:szCs w:val="22"/>
          <w:lang w:val="en-GB"/>
        </w:rPr>
        <w:t xml:space="preserve"> Sri Lanka Judges’ Institute</w:t>
      </w:r>
      <w:r w:rsidR="006C5CC9">
        <w:rPr>
          <w:rFonts w:ascii="Arial Narrow" w:eastAsia="Arial Narrow" w:hAnsi="Arial Narrow" w:cs="Arial Narrow"/>
          <w:sz w:val="22"/>
          <w:szCs w:val="22"/>
        </w:rPr>
        <w:t>.</w:t>
      </w:r>
    </w:p>
    <w:p w14:paraId="4165DF6C" w14:textId="77777777" w:rsidR="009D22EB" w:rsidRDefault="00EA79BF" w:rsidP="009D22EB">
      <w:pPr>
        <w:numPr>
          <w:ilvl w:val="0"/>
          <w:numId w:val="305"/>
        </w:numPr>
        <w:jc w:val="both"/>
        <w:rPr>
          <w:sz w:val="22"/>
          <w:szCs w:val="22"/>
        </w:rPr>
      </w:pPr>
      <w:r w:rsidRPr="00393438">
        <w:rPr>
          <w:b/>
          <w:sz w:val="22"/>
          <w:szCs w:val="22"/>
          <w:lang w:val="en-GB"/>
        </w:rPr>
        <w:t>Development Partners</w:t>
      </w:r>
      <w:r w:rsidRPr="00393438">
        <w:rPr>
          <w:sz w:val="22"/>
          <w:szCs w:val="22"/>
          <w:lang w:val="en-GB"/>
        </w:rPr>
        <w:t xml:space="preserve">: The European Union (EU) is the main funder, while </w:t>
      </w:r>
      <w:r w:rsidRPr="00393438">
        <w:rPr>
          <w:b/>
          <w:sz w:val="22"/>
          <w:szCs w:val="22"/>
          <w:lang w:val="en-GB"/>
        </w:rPr>
        <w:t>UNDP</w:t>
      </w:r>
      <w:r w:rsidRPr="00393438">
        <w:rPr>
          <w:sz w:val="22"/>
          <w:szCs w:val="22"/>
          <w:lang w:val="en-GB"/>
        </w:rPr>
        <w:t xml:space="preserve"> and </w:t>
      </w:r>
      <w:r w:rsidRPr="00393438">
        <w:rPr>
          <w:b/>
          <w:sz w:val="22"/>
          <w:szCs w:val="22"/>
          <w:lang w:val="en-GB"/>
        </w:rPr>
        <w:t>UNICEF</w:t>
      </w:r>
      <w:r w:rsidRPr="00393438">
        <w:rPr>
          <w:sz w:val="22"/>
          <w:szCs w:val="22"/>
          <w:lang w:val="en-GB"/>
        </w:rPr>
        <w:t xml:space="preserve"> are the primary implementing agencies</w:t>
      </w:r>
      <w:r w:rsidR="00393438" w:rsidRPr="00393438">
        <w:rPr>
          <w:i/>
          <w:iCs/>
        </w:rPr>
        <w:t xml:space="preserve"> and </w:t>
      </w:r>
      <w:r w:rsidR="00393438" w:rsidRPr="00393438">
        <w:rPr>
          <w:sz w:val="22"/>
          <w:szCs w:val="22"/>
        </w:rPr>
        <w:t xml:space="preserve">the project was designed as a </w:t>
      </w:r>
      <w:r w:rsidR="00393438" w:rsidRPr="00393438">
        <w:rPr>
          <w:b/>
          <w:bCs/>
          <w:sz w:val="22"/>
          <w:szCs w:val="22"/>
        </w:rPr>
        <w:t>joint intervention</w:t>
      </w:r>
      <w:r w:rsidR="00393438" w:rsidRPr="00393438">
        <w:rPr>
          <w:sz w:val="22"/>
          <w:szCs w:val="22"/>
        </w:rPr>
        <w:t xml:space="preserve"> between UNDP and UNICEF, ensuring a </w:t>
      </w:r>
      <w:r w:rsidR="00393438" w:rsidRPr="00393438">
        <w:rPr>
          <w:b/>
          <w:bCs/>
          <w:sz w:val="22"/>
          <w:szCs w:val="22"/>
        </w:rPr>
        <w:t>comprehensive justice sector reform strategy</w:t>
      </w:r>
      <w:r w:rsidR="00393438" w:rsidRPr="00393438">
        <w:rPr>
          <w:sz w:val="22"/>
          <w:szCs w:val="22"/>
        </w:rPr>
        <w:t xml:space="preserve">. The design also included </w:t>
      </w:r>
      <w:r w:rsidR="00393438" w:rsidRPr="00393438">
        <w:rPr>
          <w:b/>
          <w:bCs/>
          <w:sz w:val="22"/>
          <w:szCs w:val="22"/>
        </w:rPr>
        <w:t>partnerships with the Asia Foundation (TAF)</w:t>
      </w:r>
      <w:r w:rsidR="00393438" w:rsidRPr="00393438">
        <w:rPr>
          <w:sz w:val="22"/>
          <w:szCs w:val="22"/>
        </w:rPr>
        <w:t xml:space="preserve"> and other national and international stakeholders. </w:t>
      </w:r>
    </w:p>
    <w:p w14:paraId="29B1CB0D" w14:textId="77777777" w:rsidR="009D22EB" w:rsidRDefault="009D22EB" w:rsidP="009D22EB">
      <w:pPr>
        <w:ind w:left="502"/>
        <w:jc w:val="both"/>
        <w:rPr>
          <w:sz w:val="22"/>
          <w:szCs w:val="22"/>
        </w:rPr>
      </w:pPr>
    </w:p>
    <w:p w14:paraId="3F45D00A" w14:textId="53280573" w:rsidR="00393438" w:rsidRPr="00393438" w:rsidRDefault="00393438" w:rsidP="009D22EB">
      <w:pPr>
        <w:ind w:left="502"/>
        <w:jc w:val="both"/>
        <w:rPr>
          <w:sz w:val="22"/>
          <w:szCs w:val="22"/>
        </w:rPr>
      </w:pPr>
      <w:r w:rsidRPr="00393438">
        <w:rPr>
          <w:b/>
          <w:bCs/>
          <w:sz w:val="22"/>
          <w:szCs w:val="22"/>
        </w:rPr>
        <w:t>UNDP’s Role</w:t>
      </w:r>
      <w:r w:rsidRPr="00393438">
        <w:rPr>
          <w:sz w:val="22"/>
          <w:szCs w:val="22"/>
        </w:rPr>
        <w:t>:</w:t>
      </w:r>
    </w:p>
    <w:p w14:paraId="744ADB02" w14:textId="47CEC904" w:rsidR="00393438" w:rsidRPr="00C900FD" w:rsidRDefault="00393438" w:rsidP="00C900FD">
      <w:pPr>
        <w:pStyle w:val="ListParagraph"/>
        <w:numPr>
          <w:ilvl w:val="0"/>
          <w:numId w:val="290"/>
        </w:numPr>
        <w:jc w:val="both"/>
        <w:rPr>
          <w:sz w:val="22"/>
          <w:szCs w:val="22"/>
        </w:rPr>
      </w:pPr>
      <w:r w:rsidRPr="00C900FD">
        <w:rPr>
          <w:sz w:val="22"/>
          <w:szCs w:val="22"/>
        </w:rPr>
        <w:t xml:space="preserve">Lead on </w:t>
      </w:r>
      <w:r w:rsidRPr="00C900FD">
        <w:rPr>
          <w:b/>
          <w:bCs/>
          <w:sz w:val="22"/>
          <w:szCs w:val="22"/>
        </w:rPr>
        <w:t>judicial and legal reforms</w:t>
      </w:r>
      <w:r w:rsidRPr="00C900FD">
        <w:rPr>
          <w:sz w:val="22"/>
          <w:szCs w:val="22"/>
        </w:rPr>
        <w:t xml:space="preserve"> by working with national institutions, particularly in strengthening      justice sector policies.</w:t>
      </w:r>
    </w:p>
    <w:p w14:paraId="76C0D196" w14:textId="77777777" w:rsidR="00393438" w:rsidRPr="00C900FD" w:rsidRDefault="00393438" w:rsidP="00C900FD">
      <w:pPr>
        <w:pStyle w:val="ListParagraph"/>
        <w:numPr>
          <w:ilvl w:val="0"/>
          <w:numId w:val="290"/>
        </w:numPr>
        <w:jc w:val="both"/>
        <w:rPr>
          <w:sz w:val="22"/>
          <w:szCs w:val="22"/>
        </w:rPr>
      </w:pPr>
      <w:r w:rsidRPr="00C900FD">
        <w:rPr>
          <w:sz w:val="22"/>
          <w:szCs w:val="22"/>
        </w:rPr>
        <w:t xml:space="preserve">Develop </w:t>
      </w:r>
      <w:r w:rsidRPr="00C900FD">
        <w:rPr>
          <w:b/>
          <w:bCs/>
          <w:sz w:val="22"/>
          <w:szCs w:val="22"/>
        </w:rPr>
        <w:t>multilateral partnerships</w:t>
      </w:r>
      <w:r w:rsidRPr="00C900FD">
        <w:rPr>
          <w:sz w:val="22"/>
          <w:szCs w:val="22"/>
        </w:rPr>
        <w:t xml:space="preserve"> to mobilize resources for justice sector strengthening.</w:t>
      </w:r>
    </w:p>
    <w:p w14:paraId="5E355D0E" w14:textId="77777777" w:rsidR="00393438" w:rsidRPr="00C900FD" w:rsidRDefault="00393438" w:rsidP="00C900FD">
      <w:pPr>
        <w:pStyle w:val="ListParagraph"/>
        <w:numPr>
          <w:ilvl w:val="0"/>
          <w:numId w:val="290"/>
        </w:numPr>
        <w:jc w:val="both"/>
        <w:rPr>
          <w:sz w:val="22"/>
          <w:szCs w:val="22"/>
        </w:rPr>
      </w:pPr>
      <w:r w:rsidRPr="00C900FD">
        <w:rPr>
          <w:sz w:val="22"/>
          <w:szCs w:val="22"/>
        </w:rPr>
        <w:t xml:space="preserve">Implement </w:t>
      </w:r>
      <w:r w:rsidRPr="00C900FD">
        <w:rPr>
          <w:b/>
          <w:bCs/>
          <w:sz w:val="22"/>
          <w:szCs w:val="22"/>
        </w:rPr>
        <w:t>Alternative Dispute Resolution (ADR) interventions</w:t>
      </w:r>
      <w:r w:rsidRPr="00C900FD">
        <w:rPr>
          <w:sz w:val="22"/>
          <w:szCs w:val="22"/>
        </w:rPr>
        <w:t xml:space="preserve"> through collaboration with </w:t>
      </w:r>
      <w:r w:rsidRPr="00C900FD">
        <w:rPr>
          <w:b/>
          <w:bCs/>
          <w:sz w:val="22"/>
          <w:szCs w:val="22"/>
        </w:rPr>
        <w:t>TAF</w:t>
      </w:r>
      <w:r w:rsidRPr="00C900FD">
        <w:rPr>
          <w:sz w:val="22"/>
          <w:szCs w:val="22"/>
        </w:rPr>
        <w:t xml:space="preserve"> to improve access to justice through mediation.</w:t>
      </w:r>
    </w:p>
    <w:p w14:paraId="403FBBC7" w14:textId="77777777" w:rsidR="00393438" w:rsidRPr="00C900FD" w:rsidRDefault="00393438" w:rsidP="00C900FD">
      <w:pPr>
        <w:pStyle w:val="ListParagraph"/>
        <w:numPr>
          <w:ilvl w:val="0"/>
          <w:numId w:val="290"/>
        </w:numPr>
        <w:jc w:val="both"/>
        <w:rPr>
          <w:sz w:val="22"/>
          <w:szCs w:val="22"/>
        </w:rPr>
      </w:pPr>
      <w:r w:rsidRPr="00C900FD">
        <w:rPr>
          <w:sz w:val="22"/>
          <w:szCs w:val="22"/>
        </w:rPr>
        <w:t xml:space="preserve">Design and implement </w:t>
      </w:r>
      <w:r w:rsidRPr="00C900FD">
        <w:rPr>
          <w:b/>
          <w:bCs/>
          <w:sz w:val="22"/>
          <w:szCs w:val="22"/>
        </w:rPr>
        <w:t>strategies to prevent sexual and gender-based violence</w:t>
      </w:r>
      <w:r w:rsidRPr="00C900FD">
        <w:rPr>
          <w:sz w:val="22"/>
          <w:szCs w:val="22"/>
        </w:rPr>
        <w:t xml:space="preserve"> in collaboration with key stakeholders.</w:t>
      </w:r>
    </w:p>
    <w:p w14:paraId="68138507" w14:textId="5FA9D407" w:rsidR="00393438" w:rsidRPr="00C900FD" w:rsidRDefault="00393438" w:rsidP="00C900FD">
      <w:pPr>
        <w:ind w:left="360"/>
        <w:jc w:val="both"/>
        <w:rPr>
          <w:sz w:val="22"/>
          <w:szCs w:val="22"/>
        </w:rPr>
      </w:pPr>
      <w:r>
        <w:rPr>
          <w:b/>
          <w:bCs/>
          <w:sz w:val="22"/>
          <w:szCs w:val="22"/>
        </w:rPr>
        <w:t xml:space="preserve">    </w:t>
      </w:r>
      <w:r w:rsidRPr="00C900FD">
        <w:rPr>
          <w:b/>
          <w:bCs/>
          <w:sz w:val="22"/>
          <w:szCs w:val="22"/>
        </w:rPr>
        <w:t>UNICEF’s Role</w:t>
      </w:r>
      <w:r w:rsidRPr="00C900FD">
        <w:rPr>
          <w:sz w:val="22"/>
          <w:szCs w:val="22"/>
        </w:rPr>
        <w:t>:</w:t>
      </w:r>
    </w:p>
    <w:p w14:paraId="4FE33F2D" w14:textId="77777777" w:rsidR="00393438" w:rsidRPr="00C900FD" w:rsidRDefault="00393438" w:rsidP="00C900FD">
      <w:pPr>
        <w:pStyle w:val="ListParagraph"/>
        <w:numPr>
          <w:ilvl w:val="0"/>
          <w:numId w:val="290"/>
        </w:numPr>
        <w:jc w:val="both"/>
        <w:rPr>
          <w:sz w:val="22"/>
          <w:szCs w:val="22"/>
        </w:rPr>
      </w:pPr>
      <w:r w:rsidRPr="00C900FD">
        <w:rPr>
          <w:sz w:val="22"/>
          <w:szCs w:val="22"/>
        </w:rPr>
        <w:t xml:space="preserve">Lead on </w:t>
      </w:r>
      <w:r w:rsidRPr="00C900FD">
        <w:rPr>
          <w:b/>
          <w:bCs/>
          <w:sz w:val="22"/>
          <w:szCs w:val="22"/>
        </w:rPr>
        <w:t>child justice reforms</w:t>
      </w:r>
      <w:r w:rsidRPr="00C900FD">
        <w:rPr>
          <w:sz w:val="22"/>
          <w:szCs w:val="22"/>
        </w:rPr>
        <w:t>, ensuring that legal frameworks, policies, and institutional practices align with child protection principles.</w:t>
      </w:r>
    </w:p>
    <w:p w14:paraId="5BFB6ED2" w14:textId="77777777" w:rsidR="00393438" w:rsidRPr="00C900FD" w:rsidRDefault="00393438" w:rsidP="00C900FD">
      <w:pPr>
        <w:pStyle w:val="ListParagraph"/>
        <w:numPr>
          <w:ilvl w:val="0"/>
          <w:numId w:val="290"/>
        </w:numPr>
        <w:jc w:val="both"/>
        <w:rPr>
          <w:sz w:val="22"/>
          <w:szCs w:val="22"/>
        </w:rPr>
      </w:pPr>
      <w:r w:rsidRPr="00C900FD">
        <w:rPr>
          <w:sz w:val="22"/>
          <w:szCs w:val="22"/>
        </w:rPr>
        <w:t xml:space="preserve">Establish and strengthen </w:t>
      </w:r>
      <w:r w:rsidRPr="00C900FD">
        <w:rPr>
          <w:b/>
          <w:bCs/>
          <w:sz w:val="22"/>
          <w:szCs w:val="22"/>
        </w:rPr>
        <w:t>child-friendly justice mechanisms</w:t>
      </w:r>
      <w:r w:rsidRPr="00C900FD">
        <w:rPr>
          <w:sz w:val="22"/>
          <w:szCs w:val="22"/>
        </w:rPr>
        <w:t>, such as specialized courts, child-sensitive investigative procedures, and rehabilitation services.</w:t>
      </w:r>
    </w:p>
    <w:p w14:paraId="57D76772" w14:textId="77777777" w:rsidR="00393438" w:rsidRPr="00C900FD" w:rsidRDefault="00393438" w:rsidP="00C900FD">
      <w:pPr>
        <w:pStyle w:val="ListParagraph"/>
        <w:numPr>
          <w:ilvl w:val="0"/>
          <w:numId w:val="290"/>
        </w:numPr>
        <w:jc w:val="both"/>
        <w:rPr>
          <w:sz w:val="22"/>
          <w:szCs w:val="22"/>
        </w:rPr>
      </w:pPr>
      <w:r w:rsidRPr="00C900FD">
        <w:rPr>
          <w:sz w:val="22"/>
          <w:szCs w:val="22"/>
        </w:rPr>
        <w:t xml:space="preserve">Build the capacity of </w:t>
      </w:r>
      <w:r w:rsidRPr="00C900FD">
        <w:rPr>
          <w:b/>
          <w:bCs/>
          <w:sz w:val="22"/>
          <w:szCs w:val="22"/>
        </w:rPr>
        <w:t>judicial and law enforcement personnel</w:t>
      </w:r>
      <w:r w:rsidRPr="00C900FD">
        <w:rPr>
          <w:sz w:val="22"/>
          <w:szCs w:val="22"/>
        </w:rPr>
        <w:t xml:space="preserve"> to improve child protection within the justice system.</w:t>
      </w:r>
    </w:p>
    <w:p w14:paraId="52B5438F" w14:textId="6CBFBD80" w:rsidR="00EA79BF" w:rsidRPr="00C900FD" w:rsidRDefault="00393438" w:rsidP="00C900FD">
      <w:pPr>
        <w:pStyle w:val="ListParagraph"/>
        <w:numPr>
          <w:ilvl w:val="0"/>
          <w:numId w:val="290"/>
        </w:numPr>
        <w:jc w:val="both"/>
        <w:rPr>
          <w:sz w:val="22"/>
          <w:szCs w:val="22"/>
        </w:rPr>
      </w:pPr>
      <w:r w:rsidRPr="00C900FD">
        <w:rPr>
          <w:sz w:val="22"/>
          <w:szCs w:val="22"/>
        </w:rPr>
        <w:t xml:space="preserve">Promote </w:t>
      </w:r>
      <w:r w:rsidRPr="00C900FD">
        <w:rPr>
          <w:b/>
          <w:bCs/>
          <w:sz w:val="22"/>
          <w:szCs w:val="22"/>
        </w:rPr>
        <w:t>restorative justice approaches</w:t>
      </w:r>
      <w:r w:rsidRPr="00C900FD">
        <w:rPr>
          <w:sz w:val="22"/>
          <w:szCs w:val="22"/>
        </w:rPr>
        <w:t xml:space="preserve"> and </w:t>
      </w:r>
      <w:r w:rsidRPr="00C900FD">
        <w:rPr>
          <w:b/>
          <w:bCs/>
          <w:sz w:val="22"/>
          <w:szCs w:val="22"/>
        </w:rPr>
        <w:t>alternatives to detention</w:t>
      </w:r>
      <w:r w:rsidRPr="00C900FD">
        <w:rPr>
          <w:sz w:val="22"/>
          <w:szCs w:val="22"/>
        </w:rPr>
        <w:t xml:space="preserve"> to enhance child rights protections.</w:t>
      </w:r>
    </w:p>
    <w:p w14:paraId="0EEDB3FF" w14:textId="678E8F6A" w:rsidR="00EA79BF" w:rsidRPr="007A5C5F" w:rsidRDefault="00EA79BF" w:rsidP="009D22EB">
      <w:pPr>
        <w:numPr>
          <w:ilvl w:val="0"/>
          <w:numId w:val="306"/>
        </w:numPr>
        <w:jc w:val="both"/>
        <w:rPr>
          <w:sz w:val="22"/>
          <w:szCs w:val="22"/>
          <w:lang w:val="en-GB"/>
        </w:rPr>
      </w:pPr>
      <w:r w:rsidRPr="007A5C5F">
        <w:rPr>
          <w:b/>
          <w:sz w:val="22"/>
          <w:szCs w:val="22"/>
          <w:lang w:val="en-GB"/>
        </w:rPr>
        <w:t>Civil Society Organizations (CSOs)</w:t>
      </w:r>
      <w:r w:rsidRPr="007A5C5F">
        <w:rPr>
          <w:sz w:val="22"/>
          <w:szCs w:val="22"/>
          <w:lang w:val="en-GB"/>
        </w:rPr>
        <w:t>: These organizations, working on justice-related and rule of law issues, play a critical role in raising awareness and advocating for institutional reforms from a bottom-up approach.</w:t>
      </w:r>
      <w:r w:rsidR="006C5CC9" w:rsidRPr="006C5CC9">
        <w:rPr>
          <w:rFonts w:ascii="Arial Narrow" w:hAnsi="Arial Narrow"/>
        </w:rPr>
        <w:t xml:space="preserve"> </w:t>
      </w:r>
      <w:r w:rsidR="006C5CC9" w:rsidRPr="00C900FD">
        <w:rPr>
          <w:sz w:val="22"/>
          <w:szCs w:val="22"/>
          <w:lang w:val="en-GB"/>
        </w:rPr>
        <w:t>Women in Need (WIN) was one such organization that partnered with the Project.</w:t>
      </w:r>
    </w:p>
    <w:p w14:paraId="501EF874" w14:textId="77777777" w:rsidR="00EA79BF" w:rsidRPr="007A5C5F" w:rsidRDefault="00EA79BF" w:rsidP="009D22EB">
      <w:pPr>
        <w:numPr>
          <w:ilvl w:val="0"/>
          <w:numId w:val="306"/>
        </w:numPr>
        <w:jc w:val="both"/>
        <w:rPr>
          <w:sz w:val="22"/>
          <w:szCs w:val="22"/>
          <w:lang w:val="en-GB"/>
        </w:rPr>
      </w:pPr>
      <w:r w:rsidRPr="007A5C5F">
        <w:rPr>
          <w:b/>
          <w:sz w:val="22"/>
          <w:szCs w:val="22"/>
          <w:lang w:val="en-GB"/>
        </w:rPr>
        <w:t>Non-Government and Research Institutions</w:t>
      </w:r>
      <w:r w:rsidRPr="007A5C5F">
        <w:rPr>
          <w:sz w:val="22"/>
          <w:szCs w:val="22"/>
          <w:lang w:val="en-GB"/>
        </w:rPr>
        <w:t>: Academic and research institutions, such as universities and law colleges, along with professional associations like the Bar Association of Sri Lanka, are involved in supporting legal education, professional development, and policy advocacy.</w:t>
      </w:r>
    </w:p>
    <w:p w14:paraId="4F2E6A88" w14:textId="7AD5BE7B" w:rsidR="00EA79BF" w:rsidRPr="007A5C5F" w:rsidRDefault="00EA79BF" w:rsidP="009D22EB">
      <w:pPr>
        <w:numPr>
          <w:ilvl w:val="0"/>
          <w:numId w:val="306"/>
        </w:numPr>
        <w:jc w:val="both"/>
        <w:rPr>
          <w:sz w:val="22"/>
          <w:szCs w:val="22"/>
          <w:lang w:val="en-GB"/>
        </w:rPr>
      </w:pPr>
      <w:r w:rsidRPr="007A5C5F">
        <w:rPr>
          <w:b/>
          <w:sz w:val="22"/>
          <w:szCs w:val="22"/>
          <w:lang w:val="en-GB"/>
        </w:rPr>
        <w:t>Media</w:t>
      </w:r>
      <w:r w:rsidRPr="007A5C5F">
        <w:rPr>
          <w:sz w:val="22"/>
          <w:szCs w:val="22"/>
          <w:lang w:val="en-GB"/>
        </w:rPr>
        <w:t>:</w:t>
      </w:r>
      <w:r w:rsidR="00F73416">
        <w:rPr>
          <w:sz w:val="22"/>
          <w:szCs w:val="22"/>
          <w:lang w:val="en-GB"/>
        </w:rPr>
        <w:t xml:space="preserve"> </w:t>
      </w:r>
      <w:r w:rsidRPr="007A5C5F">
        <w:rPr>
          <w:sz w:val="22"/>
          <w:szCs w:val="22"/>
          <w:lang w:val="en-GB"/>
        </w:rPr>
        <w:t xml:space="preserve">media </w:t>
      </w:r>
      <w:r w:rsidR="00F73416">
        <w:rPr>
          <w:sz w:val="22"/>
          <w:szCs w:val="22"/>
          <w:lang w:val="en-GB"/>
        </w:rPr>
        <w:t>were</w:t>
      </w:r>
      <w:r w:rsidRPr="007A5C5F">
        <w:rPr>
          <w:sz w:val="22"/>
          <w:szCs w:val="22"/>
          <w:lang w:val="en-GB"/>
        </w:rPr>
        <w:t xml:space="preserve"> involved in promoting the project’s visibility, disseminating information, and influencing public opinion regarding the project’s impact.</w:t>
      </w:r>
    </w:p>
    <w:p w14:paraId="42B9CEEE" w14:textId="77777777" w:rsidR="00EA79BF" w:rsidRPr="007A5C5F" w:rsidRDefault="00EA79BF" w:rsidP="00EA79BF">
      <w:pPr>
        <w:tabs>
          <w:tab w:val="left" w:pos="1440"/>
        </w:tabs>
        <w:jc w:val="both"/>
        <w:rPr>
          <w:b/>
          <w:bCs/>
          <w:color w:val="ED7D31" w:themeColor="accent2"/>
          <w:lang w:val="en-GB"/>
        </w:rPr>
      </w:pPr>
    </w:p>
    <w:p w14:paraId="6D444D09" w14:textId="77777777" w:rsidR="00EA79BF" w:rsidRPr="005A38AF" w:rsidRDefault="00EA79BF" w:rsidP="00EA79BF">
      <w:pPr>
        <w:tabs>
          <w:tab w:val="left" w:pos="1440"/>
        </w:tabs>
        <w:jc w:val="both"/>
        <w:rPr>
          <w:b/>
          <w:bCs/>
          <w:color w:val="ED7D31" w:themeColor="accent2"/>
          <w:lang w:val="en-GB"/>
        </w:rPr>
      </w:pPr>
      <w:r w:rsidRPr="005A38AF">
        <w:rPr>
          <w:b/>
          <w:bCs/>
          <w:color w:val="ED7D31" w:themeColor="accent2"/>
          <w:lang w:val="en-GB"/>
        </w:rPr>
        <w:t>Context: Social, Political, Economic, and Institutional Factors</w:t>
      </w:r>
    </w:p>
    <w:p w14:paraId="704C4488" w14:textId="77777777" w:rsidR="00EA79BF" w:rsidRPr="005A38AF" w:rsidRDefault="00EA79BF" w:rsidP="00EA79BF">
      <w:pPr>
        <w:tabs>
          <w:tab w:val="left" w:pos="1440"/>
        </w:tabs>
        <w:jc w:val="both"/>
        <w:rPr>
          <w:sz w:val="22"/>
          <w:szCs w:val="22"/>
          <w:lang w:val="en-GB"/>
        </w:rPr>
      </w:pPr>
      <w:r w:rsidRPr="005A38AF">
        <w:rPr>
          <w:sz w:val="22"/>
          <w:szCs w:val="22"/>
          <w:lang w:val="en-GB"/>
        </w:rPr>
        <w:t xml:space="preserve">Sri Lanka’s development trajectory is shaped by a complex interplay of social, political, economic, and institutional factors, as well as its geographical landscape. The country has a diverse population comprising Sinhalese, Tamils, and Muslims, with historical ethnic tensions influencing governance and policy decisions. Post-conflict reconciliation remains a central challenge, with ongoing efforts in reconciliation, accountability, </w:t>
      </w:r>
      <w:r w:rsidRPr="005A38AF">
        <w:rPr>
          <w:sz w:val="22"/>
          <w:szCs w:val="22"/>
          <w:lang w:val="en-GB"/>
        </w:rPr>
        <w:lastRenderedPageBreak/>
        <w:t xml:space="preserve">and social </w:t>
      </w:r>
      <w:r w:rsidRPr="007A5C5F">
        <w:rPr>
          <w:sz w:val="22"/>
          <w:szCs w:val="22"/>
          <w:lang w:val="en-GB"/>
        </w:rPr>
        <w:t>justice.</w:t>
      </w:r>
      <w:r w:rsidRPr="007A5C5F">
        <w:rPr>
          <w:rStyle w:val="FootnoteReference"/>
          <w:sz w:val="22"/>
          <w:szCs w:val="22"/>
          <w:lang w:val="en-GB"/>
        </w:rPr>
        <w:footnoteReference w:id="2"/>
      </w:r>
      <w:r w:rsidRPr="005A38AF">
        <w:rPr>
          <w:sz w:val="22"/>
          <w:szCs w:val="22"/>
          <w:lang w:val="en-GB"/>
        </w:rPr>
        <w:t>Additionally, high levels of educational attainment and human development present opportunities for economic growth and social stability.</w:t>
      </w:r>
    </w:p>
    <w:p w14:paraId="38EE15C2" w14:textId="77777777" w:rsidR="00EA79BF" w:rsidRPr="005A38AF" w:rsidRDefault="00EA79BF" w:rsidP="00EA79BF">
      <w:pPr>
        <w:tabs>
          <w:tab w:val="left" w:pos="1440"/>
        </w:tabs>
        <w:jc w:val="both"/>
        <w:rPr>
          <w:sz w:val="22"/>
          <w:szCs w:val="22"/>
          <w:lang w:val="en-GB"/>
        </w:rPr>
      </w:pPr>
      <w:r w:rsidRPr="005A38AF">
        <w:rPr>
          <w:sz w:val="22"/>
          <w:szCs w:val="22"/>
          <w:lang w:val="en-GB"/>
        </w:rPr>
        <w:t xml:space="preserve">Politically, Sri Lanka has a history of democratic governance, yet governance challenges persist, including allegations of corruption, weakened institutional transparency, and political instability. The economic downturn, compounded by the 2019 tax cuts and the COVID-19 pandemic, has led to fiscal distress, high inflation, and sovereign credit </w:t>
      </w:r>
      <w:r w:rsidRPr="007A5C5F">
        <w:rPr>
          <w:sz w:val="22"/>
          <w:szCs w:val="22"/>
          <w:lang w:val="en-GB"/>
        </w:rPr>
        <w:t>downgrades.</w:t>
      </w:r>
      <w:r w:rsidRPr="007A5C5F">
        <w:rPr>
          <w:rStyle w:val="FootnoteReference"/>
          <w:sz w:val="22"/>
          <w:szCs w:val="22"/>
          <w:lang w:val="en-GB"/>
        </w:rPr>
        <w:footnoteReference w:id="3"/>
      </w:r>
      <w:r w:rsidRPr="005A38AF">
        <w:rPr>
          <w:sz w:val="22"/>
          <w:szCs w:val="22"/>
          <w:lang w:val="en-GB"/>
        </w:rPr>
        <w:t>These economic challenges have contributed to social unrest, impacting the functioning of public institutions, including the justice sector.</w:t>
      </w:r>
    </w:p>
    <w:p w14:paraId="20C5932A" w14:textId="77777777" w:rsidR="00EA79BF" w:rsidRPr="005A38AF" w:rsidRDefault="00EA79BF" w:rsidP="00EA79BF">
      <w:pPr>
        <w:tabs>
          <w:tab w:val="left" w:pos="1440"/>
        </w:tabs>
        <w:jc w:val="both"/>
        <w:rPr>
          <w:sz w:val="22"/>
          <w:szCs w:val="22"/>
          <w:lang w:val="en-GB"/>
        </w:rPr>
      </w:pPr>
      <w:r w:rsidRPr="005A38AF">
        <w:rPr>
          <w:sz w:val="22"/>
          <w:szCs w:val="22"/>
          <w:lang w:val="en-GB"/>
        </w:rPr>
        <w:t>Geographically, Sri Lanka’s strategic location in the Indian Ocean offers economic opportunities, particularly in trade and tourism. However, it also exposes the country to climate risks such as floods and droughts, which pose additional challenges to sustainable development and governance.</w:t>
      </w:r>
    </w:p>
    <w:p w14:paraId="56AB6402" w14:textId="77777777" w:rsidR="00EA79BF" w:rsidRPr="007A5C5F" w:rsidRDefault="00EA79BF" w:rsidP="00EA79BF">
      <w:pPr>
        <w:tabs>
          <w:tab w:val="left" w:pos="1440"/>
        </w:tabs>
        <w:jc w:val="both"/>
        <w:rPr>
          <w:b/>
          <w:bCs/>
          <w:sz w:val="22"/>
          <w:szCs w:val="22"/>
          <w:lang w:val="en-GB"/>
        </w:rPr>
      </w:pPr>
    </w:p>
    <w:p w14:paraId="082891F2" w14:textId="77777777" w:rsidR="00EA79BF" w:rsidRPr="005A38AF" w:rsidRDefault="00EA79BF" w:rsidP="00EA79BF">
      <w:pPr>
        <w:tabs>
          <w:tab w:val="left" w:pos="1440"/>
        </w:tabs>
        <w:jc w:val="both"/>
        <w:rPr>
          <w:b/>
          <w:bCs/>
          <w:color w:val="000000" w:themeColor="text1"/>
          <w:sz w:val="22"/>
          <w:szCs w:val="22"/>
          <w:lang w:val="en-GB"/>
        </w:rPr>
      </w:pPr>
      <w:r w:rsidRPr="005A38AF">
        <w:rPr>
          <w:b/>
          <w:bCs/>
          <w:color w:val="000000" w:themeColor="text1"/>
          <w:sz w:val="22"/>
          <w:szCs w:val="22"/>
          <w:lang w:val="en-GB"/>
        </w:rPr>
        <w:t>Impact of the Economic and Fiscal Crisis on Governance and Development</w:t>
      </w:r>
    </w:p>
    <w:p w14:paraId="1773B600" w14:textId="77777777" w:rsidR="00EA79BF" w:rsidRPr="005A38AF" w:rsidRDefault="00EA79BF" w:rsidP="00EA79BF">
      <w:pPr>
        <w:tabs>
          <w:tab w:val="left" w:pos="1440"/>
        </w:tabs>
        <w:jc w:val="both"/>
        <w:rPr>
          <w:sz w:val="22"/>
          <w:szCs w:val="22"/>
          <w:lang w:val="en-GB"/>
        </w:rPr>
      </w:pPr>
      <w:r w:rsidRPr="005A38AF">
        <w:rPr>
          <w:sz w:val="22"/>
          <w:szCs w:val="22"/>
          <w:lang w:val="en-GB"/>
        </w:rPr>
        <w:t>The persistent fiscal deficits, exacerbated by economic mismanagement, tax reductions, and external shocks such as the pandemic, have led to a severe balance-of-payments crisis. Public debt surged from 93.6% of GDP in 2019 to an estimated 118.9% in 2021, while global financial rating agencies downgraded Sri Lanka’s creditworthiness, reducing access to external financing</w:t>
      </w:r>
      <w:r w:rsidRPr="007A5C5F">
        <w:rPr>
          <w:sz w:val="22"/>
          <w:szCs w:val="22"/>
          <w:lang w:val="en-GB"/>
        </w:rPr>
        <w:t>.</w:t>
      </w:r>
      <w:r w:rsidRPr="007A5C5F">
        <w:rPr>
          <w:rStyle w:val="FootnoteReference"/>
          <w:sz w:val="22"/>
          <w:szCs w:val="22"/>
          <w:lang w:val="en-GB"/>
        </w:rPr>
        <w:footnoteReference w:id="4"/>
      </w:r>
      <w:r w:rsidRPr="005A38AF">
        <w:rPr>
          <w:sz w:val="22"/>
          <w:szCs w:val="22"/>
          <w:lang w:val="en-GB"/>
        </w:rPr>
        <w:t>The result has been inflationary pressures, food and fuel shortages, and declining social sector investments, posing risks to achieving the SDGs.</w:t>
      </w:r>
    </w:p>
    <w:p w14:paraId="4D19E39C" w14:textId="77777777" w:rsidR="00EA79BF" w:rsidRPr="005A38AF" w:rsidRDefault="00EA79BF" w:rsidP="00EA79BF">
      <w:pPr>
        <w:tabs>
          <w:tab w:val="left" w:pos="1440"/>
        </w:tabs>
        <w:jc w:val="both"/>
        <w:rPr>
          <w:sz w:val="22"/>
          <w:szCs w:val="22"/>
          <w:lang w:val="en-GB"/>
        </w:rPr>
      </w:pPr>
      <w:r w:rsidRPr="005A38AF">
        <w:rPr>
          <w:sz w:val="22"/>
          <w:szCs w:val="22"/>
          <w:lang w:val="en-GB"/>
        </w:rPr>
        <w:t>The economic downturn has placed immense strain on governance and public services. Institutions, including the judiciary, have struggled with backlogs and limited resources to address the increasing demand for legal resolutions. The return of approximately 50,000 migrant workers due to the pandemic has further strained social protection networks, increasing vulnerabilities among women and marginalized groups</w:t>
      </w:r>
      <w:r w:rsidRPr="007A5C5F">
        <w:rPr>
          <w:sz w:val="22"/>
          <w:szCs w:val="22"/>
          <w:lang w:val="en-GB"/>
        </w:rPr>
        <w:t>.</w:t>
      </w:r>
      <w:r w:rsidRPr="007A5C5F">
        <w:rPr>
          <w:rStyle w:val="FootnoteReference"/>
          <w:sz w:val="22"/>
          <w:szCs w:val="22"/>
          <w:lang w:val="en-GB"/>
        </w:rPr>
        <w:footnoteReference w:id="5"/>
      </w:r>
    </w:p>
    <w:p w14:paraId="753DA7B1" w14:textId="77777777" w:rsidR="00EA79BF" w:rsidRPr="005A38AF" w:rsidRDefault="00EA79BF" w:rsidP="00EA79BF">
      <w:pPr>
        <w:tabs>
          <w:tab w:val="left" w:pos="1440"/>
        </w:tabs>
        <w:jc w:val="both"/>
        <w:rPr>
          <w:sz w:val="22"/>
          <w:szCs w:val="22"/>
          <w:lang w:val="en-GB"/>
        </w:rPr>
      </w:pPr>
      <w:r w:rsidRPr="005A38AF">
        <w:rPr>
          <w:sz w:val="22"/>
          <w:szCs w:val="22"/>
          <w:lang w:val="en-GB"/>
        </w:rPr>
        <w:t>Despite these challenges, the crisis presents an opportunity for institutional reform, improved fiscal discipline, and greater transparency in governance. Strengthening economic resilience through diversified revenue generation and investment in sustainable development projects is crucial for long-term stability.</w:t>
      </w:r>
    </w:p>
    <w:p w14:paraId="59573134" w14:textId="77777777" w:rsidR="00EA79BF" w:rsidRPr="007A5C5F" w:rsidRDefault="00EA79BF" w:rsidP="00EA79BF">
      <w:pPr>
        <w:tabs>
          <w:tab w:val="left" w:pos="1440"/>
        </w:tabs>
        <w:jc w:val="both"/>
        <w:rPr>
          <w:b/>
          <w:bCs/>
          <w:sz w:val="22"/>
          <w:szCs w:val="22"/>
          <w:lang w:val="en-GB"/>
        </w:rPr>
      </w:pPr>
    </w:p>
    <w:p w14:paraId="01077422" w14:textId="77777777" w:rsidR="00EA79BF" w:rsidRPr="005A38AF" w:rsidRDefault="00EA79BF" w:rsidP="00EA79BF">
      <w:pPr>
        <w:tabs>
          <w:tab w:val="left" w:pos="1440"/>
        </w:tabs>
        <w:jc w:val="both"/>
        <w:rPr>
          <w:b/>
          <w:bCs/>
          <w:color w:val="000000" w:themeColor="text1"/>
          <w:sz w:val="22"/>
          <w:szCs w:val="22"/>
          <w:lang w:val="en-GB"/>
        </w:rPr>
      </w:pPr>
      <w:r w:rsidRPr="005A38AF">
        <w:rPr>
          <w:b/>
          <w:bCs/>
          <w:color w:val="000000" w:themeColor="text1"/>
          <w:sz w:val="22"/>
          <w:szCs w:val="22"/>
          <w:lang w:val="en-GB"/>
        </w:rPr>
        <w:t>Gender Equality and Access to Justice in Sri Lanka</w:t>
      </w:r>
    </w:p>
    <w:p w14:paraId="15FEE078" w14:textId="77777777" w:rsidR="00EA79BF" w:rsidRPr="007A5C5F" w:rsidRDefault="00EA79BF" w:rsidP="00EA79BF">
      <w:pPr>
        <w:tabs>
          <w:tab w:val="left" w:pos="1440"/>
        </w:tabs>
        <w:ind w:left="360" w:hanging="360"/>
        <w:jc w:val="both"/>
        <w:rPr>
          <w:b/>
          <w:bCs/>
          <w:sz w:val="22"/>
          <w:szCs w:val="22"/>
          <w:lang w:val="en-GB"/>
        </w:rPr>
      </w:pPr>
    </w:p>
    <w:p w14:paraId="6DF62433" w14:textId="77777777" w:rsidR="00EA79BF" w:rsidRPr="007A5C5F" w:rsidRDefault="00EA79BF" w:rsidP="00EA79BF">
      <w:pPr>
        <w:pStyle w:val="ListParagraph"/>
        <w:numPr>
          <w:ilvl w:val="0"/>
          <w:numId w:val="189"/>
        </w:numPr>
        <w:tabs>
          <w:tab w:val="left" w:pos="1440"/>
        </w:tabs>
        <w:jc w:val="both"/>
        <w:rPr>
          <w:i/>
          <w:iCs/>
          <w:sz w:val="22"/>
          <w:szCs w:val="22"/>
          <w:lang w:val="en-GB"/>
        </w:rPr>
      </w:pPr>
      <w:r w:rsidRPr="007A5C5F">
        <w:rPr>
          <w:i/>
          <w:iCs/>
          <w:sz w:val="22"/>
          <w:szCs w:val="22"/>
          <w:lang w:val="en-GB"/>
        </w:rPr>
        <w:t>Legislative and Policy Framework for Addressing SGBV and Gender Discrimination</w:t>
      </w:r>
    </w:p>
    <w:p w14:paraId="16D79E3F" w14:textId="77777777" w:rsidR="00EA79BF" w:rsidRPr="005A38AF" w:rsidRDefault="00EA79BF" w:rsidP="00EA79BF">
      <w:pPr>
        <w:tabs>
          <w:tab w:val="left" w:pos="1440"/>
        </w:tabs>
        <w:jc w:val="both"/>
        <w:rPr>
          <w:sz w:val="22"/>
          <w:szCs w:val="22"/>
          <w:lang w:val="en-GB"/>
        </w:rPr>
      </w:pPr>
      <w:r w:rsidRPr="005A38AF">
        <w:rPr>
          <w:sz w:val="22"/>
          <w:szCs w:val="22"/>
          <w:lang w:val="en-GB"/>
        </w:rPr>
        <w:t>Sri Lanka’s Constitution provides a strong legal foundation for gender equality</w:t>
      </w:r>
      <w:r w:rsidRPr="007A5C5F">
        <w:rPr>
          <w:rStyle w:val="FootnoteReference"/>
          <w:sz w:val="22"/>
          <w:szCs w:val="22"/>
          <w:lang w:val="en-GB"/>
        </w:rPr>
        <w:footnoteReference w:id="6"/>
      </w:r>
      <w:r w:rsidRPr="007A5C5F">
        <w:rPr>
          <w:sz w:val="22"/>
          <w:szCs w:val="22"/>
          <w:lang w:val="en-GB"/>
        </w:rPr>
        <w:t xml:space="preserve">. </w:t>
      </w:r>
      <w:r w:rsidRPr="005A38AF">
        <w:rPr>
          <w:sz w:val="22"/>
          <w:szCs w:val="22"/>
          <w:lang w:val="en-GB"/>
        </w:rPr>
        <w:t xml:space="preserve">Special provisions may be made for the advancement of women, children, and disabled </w:t>
      </w:r>
      <w:r w:rsidRPr="007A5C5F">
        <w:rPr>
          <w:sz w:val="22"/>
          <w:szCs w:val="22"/>
          <w:lang w:val="en-GB"/>
        </w:rPr>
        <w:t>persons.</w:t>
      </w:r>
      <w:r w:rsidRPr="007A5C5F">
        <w:rPr>
          <w:rStyle w:val="FootnoteReference"/>
          <w:sz w:val="22"/>
          <w:szCs w:val="22"/>
          <w:lang w:val="en-GB"/>
        </w:rPr>
        <w:footnoteReference w:id="7"/>
      </w:r>
      <w:r w:rsidRPr="005A38AF">
        <w:rPr>
          <w:sz w:val="22"/>
          <w:szCs w:val="22"/>
          <w:lang w:val="en-GB"/>
        </w:rPr>
        <w:t xml:space="preserve">However, personal laws—including Kandyan, Thesavalamai, and Muslim laws—continue to discriminate against women in matters of marriage, divorce, and succession. The Ministry of Justice is engaged in efforts to revise these laws to align with international human rights </w:t>
      </w:r>
      <w:r w:rsidRPr="007A5C5F">
        <w:rPr>
          <w:sz w:val="22"/>
          <w:szCs w:val="22"/>
          <w:lang w:val="en-GB"/>
        </w:rPr>
        <w:t>standards. (</w:t>
      </w:r>
      <w:r w:rsidRPr="005A38AF">
        <w:rPr>
          <w:sz w:val="22"/>
          <w:szCs w:val="22"/>
          <w:lang w:val="en-GB"/>
        </w:rPr>
        <w:t>Source: Ministry of Justice Reform Reports, 2021)</w:t>
      </w:r>
    </w:p>
    <w:p w14:paraId="68DE8D5C" w14:textId="77777777" w:rsidR="00EA79BF" w:rsidRPr="005A38AF" w:rsidRDefault="00EA79BF" w:rsidP="00EA79BF">
      <w:pPr>
        <w:tabs>
          <w:tab w:val="left" w:pos="1440"/>
        </w:tabs>
        <w:jc w:val="both"/>
        <w:rPr>
          <w:sz w:val="22"/>
          <w:szCs w:val="22"/>
          <w:lang w:val="en-GB"/>
        </w:rPr>
      </w:pPr>
      <w:r w:rsidRPr="005A38AF">
        <w:rPr>
          <w:sz w:val="22"/>
          <w:szCs w:val="22"/>
          <w:lang w:val="en-GB"/>
        </w:rPr>
        <w:t>Sri Lanka has ratified key international frameworks supporting gender equity, yet gaps in implementation remain. For instance, abortion remains criminalized, and marital rape is not legally recognized unless the woman is formally separated from her spouse. The Vagrants Ordinance continues to be used to target individuals based on gender identity and sexual orientation, further limiting access to justice for marginalized groups</w:t>
      </w:r>
      <w:r w:rsidRPr="007A5C5F">
        <w:rPr>
          <w:sz w:val="22"/>
          <w:szCs w:val="22"/>
          <w:lang w:val="en-GB"/>
        </w:rPr>
        <w:t>.</w:t>
      </w:r>
      <w:r w:rsidRPr="007A5C5F">
        <w:rPr>
          <w:rStyle w:val="FootnoteReference"/>
          <w:sz w:val="22"/>
          <w:szCs w:val="22"/>
          <w:lang w:val="en-GB"/>
        </w:rPr>
        <w:footnoteReference w:id="8"/>
      </w:r>
    </w:p>
    <w:p w14:paraId="3CE1DE49" w14:textId="77777777" w:rsidR="00EA79BF" w:rsidRPr="005A38AF" w:rsidRDefault="00EA79BF" w:rsidP="00EA79BF">
      <w:pPr>
        <w:pStyle w:val="ListParagraph"/>
        <w:numPr>
          <w:ilvl w:val="0"/>
          <w:numId w:val="189"/>
        </w:numPr>
        <w:tabs>
          <w:tab w:val="left" w:pos="1440"/>
        </w:tabs>
        <w:jc w:val="both"/>
        <w:rPr>
          <w:i/>
          <w:iCs/>
          <w:sz w:val="22"/>
          <w:szCs w:val="22"/>
          <w:lang w:val="en-GB"/>
        </w:rPr>
      </w:pPr>
      <w:r w:rsidRPr="005A38AF">
        <w:rPr>
          <w:i/>
          <w:iCs/>
          <w:sz w:val="22"/>
          <w:szCs w:val="22"/>
          <w:lang w:val="en-GB"/>
        </w:rPr>
        <w:t>Legal Reforms and Institutional Capacity-Building</w:t>
      </w:r>
    </w:p>
    <w:p w14:paraId="40196485" w14:textId="77777777" w:rsidR="00EA79BF" w:rsidRPr="007A5C5F" w:rsidRDefault="00EA79BF" w:rsidP="00EA79BF">
      <w:pPr>
        <w:tabs>
          <w:tab w:val="left" w:pos="1440"/>
        </w:tabs>
        <w:jc w:val="both"/>
        <w:rPr>
          <w:sz w:val="22"/>
          <w:szCs w:val="22"/>
          <w:lang w:val="en-GB"/>
        </w:rPr>
      </w:pPr>
      <w:r w:rsidRPr="005A38AF">
        <w:rPr>
          <w:sz w:val="22"/>
          <w:szCs w:val="22"/>
          <w:lang w:val="en-GB"/>
        </w:rPr>
        <w:t xml:space="preserve">Efforts to promote gender-responsive legal reforms include amendments to the Land Development Ordinance, approved by the Cabinet in January 2021, ensuring equal inheritance rights for daughters alongside </w:t>
      </w:r>
      <w:r w:rsidRPr="007A5C5F">
        <w:rPr>
          <w:sz w:val="22"/>
          <w:szCs w:val="22"/>
          <w:lang w:val="en-GB"/>
        </w:rPr>
        <w:t xml:space="preserve">sons. </w:t>
      </w:r>
      <w:r w:rsidRPr="007A5C5F">
        <w:rPr>
          <w:rStyle w:val="FootnoteReference"/>
          <w:sz w:val="22"/>
          <w:szCs w:val="22"/>
          <w:lang w:val="en-GB"/>
        </w:rPr>
        <w:footnoteReference w:id="9"/>
      </w:r>
      <w:r w:rsidRPr="005A38AF">
        <w:rPr>
          <w:sz w:val="22"/>
          <w:szCs w:val="22"/>
          <w:lang w:val="en-GB"/>
        </w:rPr>
        <w:t>Additionally, UNDP and other agencies have supported capacity-building initiatives, training police officers, prosecutors, and magistrates on gender-sensitive legal enforcement and CEDAW principles</w:t>
      </w:r>
      <w:r w:rsidRPr="007A5C5F">
        <w:rPr>
          <w:sz w:val="22"/>
          <w:szCs w:val="22"/>
          <w:lang w:val="en-GB"/>
        </w:rPr>
        <w:t>.</w:t>
      </w:r>
      <w:r w:rsidRPr="007A5C5F">
        <w:rPr>
          <w:rStyle w:val="FootnoteReference"/>
          <w:sz w:val="22"/>
          <w:szCs w:val="22"/>
          <w:lang w:val="en-GB"/>
        </w:rPr>
        <w:footnoteReference w:id="10"/>
      </w:r>
      <w:r w:rsidRPr="007A5C5F">
        <w:rPr>
          <w:sz w:val="22"/>
          <w:szCs w:val="22"/>
          <w:lang w:val="en-GB"/>
        </w:rPr>
        <w:t xml:space="preserve"> </w:t>
      </w:r>
      <w:r w:rsidRPr="005A38AF">
        <w:rPr>
          <w:sz w:val="22"/>
          <w:szCs w:val="22"/>
          <w:lang w:val="en-GB"/>
        </w:rPr>
        <w:t>Despite these advancements, gender capacity within justice institutions remains inadequate. A comprehensive gender capacity assessment is planned as part of the Gender Action Plan to identify systemic gaps and formulate targeted interventions to strengthen institutional responses.</w:t>
      </w:r>
    </w:p>
    <w:p w14:paraId="29321F87" w14:textId="77777777" w:rsidR="00EA79BF" w:rsidRPr="007A5C5F" w:rsidRDefault="00EA79BF" w:rsidP="00EA79BF">
      <w:pPr>
        <w:tabs>
          <w:tab w:val="left" w:pos="1440"/>
        </w:tabs>
        <w:jc w:val="both"/>
        <w:rPr>
          <w:sz w:val="22"/>
          <w:szCs w:val="22"/>
          <w:lang w:val="en-GB"/>
        </w:rPr>
      </w:pPr>
    </w:p>
    <w:p w14:paraId="02F05663" w14:textId="77777777" w:rsidR="00EA79BF" w:rsidRPr="005A38AF" w:rsidRDefault="00EA79BF" w:rsidP="00EA79BF">
      <w:pPr>
        <w:pStyle w:val="ListParagraph"/>
        <w:numPr>
          <w:ilvl w:val="0"/>
          <w:numId w:val="189"/>
        </w:numPr>
        <w:tabs>
          <w:tab w:val="left" w:pos="1440"/>
        </w:tabs>
        <w:jc w:val="both"/>
        <w:rPr>
          <w:i/>
          <w:iCs/>
          <w:sz w:val="22"/>
          <w:szCs w:val="22"/>
          <w:lang w:val="en-GB"/>
        </w:rPr>
      </w:pPr>
      <w:r w:rsidRPr="005A38AF">
        <w:rPr>
          <w:i/>
          <w:iCs/>
          <w:sz w:val="22"/>
          <w:szCs w:val="22"/>
          <w:lang w:val="en-GB"/>
        </w:rPr>
        <w:t>Challenges in Access to Justice for Women and Girls</w:t>
      </w:r>
    </w:p>
    <w:p w14:paraId="592ECD5C" w14:textId="77777777" w:rsidR="00EA79BF" w:rsidRPr="005A38AF" w:rsidRDefault="00EA79BF" w:rsidP="00EA79BF">
      <w:pPr>
        <w:tabs>
          <w:tab w:val="left" w:pos="1440"/>
        </w:tabs>
        <w:jc w:val="both"/>
        <w:rPr>
          <w:sz w:val="22"/>
          <w:szCs w:val="22"/>
          <w:lang w:val="en-GB"/>
        </w:rPr>
      </w:pPr>
      <w:r w:rsidRPr="005A38AF">
        <w:rPr>
          <w:sz w:val="22"/>
          <w:szCs w:val="22"/>
          <w:lang w:val="en-GB"/>
        </w:rPr>
        <w:t xml:space="preserve">The 2021 Women’s </w:t>
      </w:r>
      <w:r>
        <w:rPr>
          <w:sz w:val="22"/>
          <w:szCs w:val="22"/>
          <w:lang w:val="en-GB"/>
        </w:rPr>
        <w:t>Well-being</w:t>
      </w:r>
      <w:r w:rsidRPr="005A38AF">
        <w:rPr>
          <w:sz w:val="22"/>
          <w:szCs w:val="22"/>
          <w:lang w:val="en-GB"/>
        </w:rPr>
        <w:t xml:space="preserve"> National Study revealed troubling levels of gender-based violence:</w:t>
      </w:r>
    </w:p>
    <w:p w14:paraId="73892181" w14:textId="77777777" w:rsidR="00EA79BF" w:rsidRPr="005A38AF" w:rsidRDefault="00EA79BF" w:rsidP="00EA79BF">
      <w:pPr>
        <w:numPr>
          <w:ilvl w:val="0"/>
          <w:numId w:val="187"/>
        </w:numPr>
        <w:tabs>
          <w:tab w:val="left" w:pos="1440"/>
        </w:tabs>
        <w:jc w:val="both"/>
        <w:rPr>
          <w:sz w:val="22"/>
          <w:szCs w:val="22"/>
          <w:lang w:val="en-GB"/>
        </w:rPr>
      </w:pPr>
      <w:r w:rsidRPr="005A38AF">
        <w:rPr>
          <w:b/>
          <w:bCs/>
          <w:sz w:val="22"/>
          <w:szCs w:val="22"/>
          <w:lang w:val="en-GB"/>
        </w:rPr>
        <w:t>Physical violence</w:t>
      </w:r>
      <w:r w:rsidRPr="005A38AF">
        <w:rPr>
          <w:sz w:val="22"/>
          <w:szCs w:val="22"/>
          <w:lang w:val="en-GB"/>
        </w:rPr>
        <w:t>: 18.9% of ever-partnered women</w:t>
      </w:r>
    </w:p>
    <w:p w14:paraId="6ED755F6" w14:textId="77777777" w:rsidR="00EA79BF" w:rsidRPr="005A38AF" w:rsidRDefault="00EA79BF" w:rsidP="00EA79BF">
      <w:pPr>
        <w:numPr>
          <w:ilvl w:val="0"/>
          <w:numId w:val="187"/>
        </w:numPr>
        <w:tabs>
          <w:tab w:val="left" w:pos="1440"/>
        </w:tabs>
        <w:jc w:val="both"/>
        <w:rPr>
          <w:sz w:val="22"/>
          <w:szCs w:val="22"/>
          <w:lang w:val="en-GB"/>
        </w:rPr>
      </w:pPr>
      <w:r w:rsidRPr="005A38AF">
        <w:rPr>
          <w:b/>
          <w:bCs/>
          <w:sz w:val="22"/>
          <w:szCs w:val="22"/>
          <w:lang w:val="en-GB"/>
        </w:rPr>
        <w:t>Sexual violence</w:t>
      </w:r>
      <w:r w:rsidRPr="005A38AF">
        <w:rPr>
          <w:sz w:val="22"/>
          <w:szCs w:val="22"/>
          <w:lang w:val="en-GB"/>
        </w:rPr>
        <w:t>: 6.8%</w:t>
      </w:r>
    </w:p>
    <w:p w14:paraId="5609A132" w14:textId="77777777" w:rsidR="00EA79BF" w:rsidRPr="005A38AF" w:rsidRDefault="00EA79BF" w:rsidP="00EA79BF">
      <w:pPr>
        <w:numPr>
          <w:ilvl w:val="0"/>
          <w:numId w:val="187"/>
        </w:numPr>
        <w:tabs>
          <w:tab w:val="left" w:pos="1440"/>
        </w:tabs>
        <w:jc w:val="both"/>
        <w:rPr>
          <w:sz w:val="22"/>
          <w:szCs w:val="22"/>
          <w:lang w:val="en-GB"/>
        </w:rPr>
      </w:pPr>
      <w:r w:rsidRPr="005A38AF">
        <w:rPr>
          <w:b/>
          <w:bCs/>
          <w:sz w:val="22"/>
          <w:szCs w:val="22"/>
          <w:lang w:val="en-GB"/>
        </w:rPr>
        <w:t>Psychological violence</w:t>
      </w:r>
      <w:r w:rsidRPr="005A38AF">
        <w:rPr>
          <w:sz w:val="22"/>
          <w:szCs w:val="22"/>
          <w:lang w:val="en-GB"/>
        </w:rPr>
        <w:t>: 27.9%</w:t>
      </w:r>
    </w:p>
    <w:p w14:paraId="4A79EB7B" w14:textId="77777777" w:rsidR="00EA79BF" w:rsidRPr="005A38AF" w:rsidRDefault="00EA79BF" w:rsidP="00EA79BF">
      <w:pPr>
        <w:numPr>
          <w:ilvl w:val="0"/>
          <w:numId w:val="187"/>
        </w:numPr>
        <w:tabs>
          <w:tab w:val="left" w:pos="1440"/>
        </w:tabs>
        <w:jc w:val="both"/>
        <w:rPr>
          <w:sz w:val="22"/>
          <w:szCs w:val="22"/>
          <w:lang w:val="en-GB"/>
        </w:rPr>
      </w:pPr>
      <w:r w:rsidRPr="005A38AF">
        <w:rPr>
          <w:b/>
          <w:bCs/>
          <w:sz w:val="22"/>
          <w:szCs w:val="22"/>
          <w:lang w:val="en-GB"/>
        </w:rPr>
        <w:t>Economic violence</w:t>
      </w:r>
      <w:r w:rsidRPr="005A38AF">
        <w:rPr>
          <w:sz w:val="22"/>
          <w:szCs w:val="22"/>
          <w:lang w:val="en-GB"/>
        </w:rPr>
        <w:t>: 18.1%</w:t>
      </w:r>
    </w:p>
    <w:p w14:paraId="424BB23D" w14:textId="77777777" w:rsidR="00EA79BF" w:rsidRPr="007A5C5F" w:rsidRDefault="00EA79BF" w:rsidP="00EA79BF">
      <w:pPr>
        <w:numPr>
          <w:ilvl w:val="0"/>
          <w:numId w:val="187"/>
        </w:numPr>
        <w:tabs>
          <w:tab w:val="left" w:pos="1440"/>
        </w:tabs>
        <w:jc w:val="both"/>
        <w:rPr>
          <w:sz w:val="22"/>
          <w:szCs w:val="22"/>
          <w:lang w:val="en-GB"/>
        </w:rPr>
      </w:pPr>
      <w:r w:rsidRPr="005A38AF">
        <w:rPr>
          <w:b/>
          <w:bCs/>
          <w:sz w:val="22"/>
          <w:szCs w:val="22"/>
          <w:lang w:val="en-GB"/>
        </w:rPr>
        <w:t>Controlling behaviour by partners</w:t>
      </w:r>
      <w:r w:rsidRPr="005A38AF">
        <w:rPr>
          <w:sz w:val="22"/>
          <w:szCs w:val="22"/>
          <w:lang w:val="en-GB"/>
        </w:rPr>
        <w:t>: 19.1%</w:t>
      </w:r>
      <w:r w:rsidRPr="007A5C5F">
        <w:rPr>
          <w:rStyle w:val="FootnoteReference"/>
          <w:sz w:val="22"/>
          <w:szCs w:val="22"/>
          <w:lang w:val="en-GB"/>
        </w:rPr>
        <w:footnoteReference w:id="11"/>
      </w:r>
    </w:p>
    <w:p w14:paraId="6D019EDB" w14:textId="77777777" w:rsidR="00EA79BF" w:rsidRPr="007A5C5F" w:rsidRDefault="00EA79BF" w:rsidP="00EA79BF">
      <w:pPr>
        <w:tabs>
          <w:tab w:val="left" w:pos="1440"/>
        </w:tabs>
        <w:jc w:val="both"/>
        <w:rPr>
          <w:sz w:val="22"/>
          <w:szCs w:val="22"/>
          <w:lang w:val="en-GB"/>
        </w:rPr>
      </w:pPr>
      <w:r w:rsidRPr="005A38AF">
        <w:rPr>
          <w:sz w:val="22"/>
          <w:szCs w:val="22"/>
          <w:lang w:val="en-GB"/>
        </w:rPr>
        <w:t xml:space="preserve">One in five Sri Lankan women has experienced multiple forms of violence, with younger women disproportionately affected. A 2016 UN Women study found that 96.5% of Sri Lankan men who admitted to committing rape faced no legal </w:t>
      </w:r>
      <w:r w:rsidRPr="007A5C5F">
        <w:rPr>
          <w:sz w:val="22"/>
          <w:szCs w:val="22"/>
          <w:lang w:val="en-GB"/>
        </w:rPr>
        <w:t>consequences.</w:t>
      </w:r>
      <w:r w:rsidRPr="007A5C5F">
        <w:rPr>
          <w:rStyle w:val="FootnoteReference"/>
          <w:sz w:val="22"/>
          <w:szCs w:val="22"/>
          <w:lang w:val="en-GB"/>
        </w:rPr>
        <w:footnoteReference w:id="12"/>
      </w:r>
      <w:r w:rsidRPr="007A5C5F">
        <w:rPr>
          <w:sz w:val="22"/>
          <w:szCs w:val="22"/>
          <w:lang w:val="en-GB"/>
        </w:rPr>
        <w:t xml:space="preserve"> </w:t>
      </w:r>
      <w:r w:rsidRPr="005A38AF">
        <w:rPr>
          <w:sz w:val="22"/>
          <w:szCs w:val="22"/>
          <w:lang w:val="en-GB"/>
        </w:rPr>
        <w:t>The COVID-19 pandemic exacerbated these vulnerabilities, leading to increased cases of domestic violence, economic hardship, and greater reliance on informal coping mechanisms. Calls to SGBV helplines surged, yet access to shelters, psychosocial support, and legal aid remains inconsistent across regions</w:t>
      </w:r>
      <w:r w:rsidRPr="007A5C5F">
        <w:rPr>
          <w:sz w:val="22"/>
          <w:szCs w:val="22"/>
          <w:lang w:val="en-GB"/>
        </w:rPr>
        <w:t>.</w:t>
      </w:r>
      <w:r w:rsidRPr="007A5C5F">
        <w:rPr>
          <w:rStyle w:val="FootnoteReference"/>
          <w:sz w:val="22"/>
          <w:szCs w:val="22"/>
          <w:lang w:val="en-GB"/>
        </w:rPr>
        <w:footnoteReference w:id="13"/>
      </w:r>
      <w:r w:rsidRPr="007A5C5F">
        <w:rPr>
          <w:sz w:val="22"/>
          <w:szCs w:val="22"/>
          <w:lang w:val="en-GB"/>
        </w:rPr>
        <w:t xml:space="preserve"> </w:t>
      </w:r>
      <w:r w:rsidRPr="005A38AF">
        <w:rPr>
          <w:sz w:val="22"/>
          <w:szCs w:val="22"/>
          <w:lang w:val="en-GB"/>
        </w:rPr>
        <w:t xml:space="preserve">While Sri Lanka’s Prevention of Domestic Violence Act (PDVA) of 2005 provides legal protection, enforcement is weak due to police reluctance and social stigma. Marital rape remains legal in most cases, and domestic violence is still widely regarded as a private issue rather than a criminal </w:t>
      </w:r>
      <w:r>
        <w:rPr>
          <w:sz w:val="22"/>
          <w:szCs w:val="22"/>
          <w:lang w:val="en-GB"/>
        </w:rPr>
        <w:t>offence</w:t>
      </w:r>
      <w:r w:rsidRPr="005A38AF">
        <w:rPr>
          <w:sz w:val="22"/>
          <w:szCs w:val="22"/>
          <w:lang w:val="en-GB"/>
        </w:rPr>
        <w:t>.</w:t>
      </w:r>
      <w:r w:rsidRPr="007A5C5F">
        <w:rPr>
          <w:sz w:val="22"/>
          <w:szCs w:val="22"/>
          <w:lang w:val="en-GB"/>
        </w:rPr>
        <w:t xml:space="preserve"> </w:t>
      </w:r>
      <w:r w:rsidRPr="005A38AF">
        <w:rPr>
          <w:sz w:val="22"/>
          <w:szCs w:val="22"/>
          <w:lang w:val="en-GB"/>
        </w:rPr>
        <w:t xml:space="preserve">The justice system faces severe inefficiencies, with an average of 17 years required for crime prosecution and </w:t>
      </w:r>
      <w:r w:rsidRPr="007A5C5F">
        <w:rPr>
          <w:sz w:val="22"/>
          <w:szCs w:val="22"/>
          <w:lang w:val="en-GB"/>
        </w:rPr>
        <w:t>appeals.</w:t>
      </w:r>
      <w:r w:rsidRPr="007A5C5F">
        <w:rPr>
          <w:rStyle w:val="FootnoteReference"/>
          <w:sz w:val="22"/>
          <w:szCs w:val="22"/>
          <w:lang w:val="en-GB"/>
        </w:rPr>
        <w:footnoteReference w:id="14"/>
      </w:r>
      <w:r w:rsidRPr="007A5C5F">
        <w:rPr>
          <w:sz w:val="22"/>
          <w:szCs w:val="22"/>
          <w:lang w:val="en-GB"/>
        </w:rPr>
        <w:t xml:space="preserve"> </w:t>
      </w:r>
      <w:r w:rsidRPr="005A38AF">
        <w:rPr>
          <w:sz w:val="22"/>
          <w:szCs w:val="22"/>
          <w:lang w:val="en-GB"/>
        </w:rPr>
        <w:t>Limited legal aid, systemic delays, and the reluctance of law enforcement agencies to address gender-based violence further discourage survivors from seeking justice. Addressing these challenges necessitates investment in judicial efficiency, increased funding for legal aid programs, and greater coordination among service providers.</w:t>
      </w:r>
    </w:p>
    <w:p w14:paraId="72382972" w14:textId="77777777" w:rsidR="00EA79BF" w:rsidRPr="007A5C5F" w:rsidRDefault="00EA79BF" w:rsidP="00EA79BF">
      <w:pPr>
        <w:tabs>
          <w:tab w:val="left" w:pos="1440"/>
        </w:tabs>
        <w:jc w:val="both"/>
        <w:rPr>
          <w:b/>
          <w:bCs/>
          <w:color w:val="ED7D31" w:themeColor="accent2"/>
          <w:sz w:val="22"/>
          <w:szCs w:val="22"/>
          <w:lang w:val="en-GB"/>
        </w:rPr>
      </w:pPr>
    </w:p>
    <w:p w14:paraId="6F9AFE36" w14:textId="77777777" w:rsidR="00EA79BF" w:rsidRPr="00996BAA" w:rsidRDefault="00EA79BF" w:rsidP="00EA79BF">
      <w:pPr>
        <w:tabs>
          <w:tab w:val="left" w:pos="1440"/>
        </w:tabs>
        <w:jc w:val="both"/>
        <w:rPr>
          <w:b/>
          <w:bCs/>
          <w:color w:val="000000" w:themeColor="text1"/>
          <w:sz w:val="22"/>
          <w:szCs w:val="22"/>
          <w:lang w:val="en-GB"/>
        </w:rPr>
      </w:pPr>
      <w:r w:rsidRPr="00996BAA">
        <w:rPr>
          <w:b/>
          <w:bCs/>
          <w:color w:val="000000" w:themeColor="text1"/>
          <w:sz w:val="22"/>
          <w:szCs w:val="22"/>
          <w:lang w:val="en-GB"/>
        </w:rPr>
        <w:t>The Legal Aid Sector in Sri Lanka</w:t>
      </w:r>
    </w:p>
    <w:p w14:paraId="28174AF0" w14:textId="61ECD4BC" w:rsidR="00EA79BF" w:rsidRPr="007A5C5F" w:rsidRDefault="00EA79BF" w:rsidP="00EA79BF">
      <w:pPr>
        <w:tabs>
          <w:tab w:val="left" w:pos="1440"/>
        </w:tabs>
        <w:jc w:val="both"/>
        <w:rPr>
          <w:sz w:val="22"/>
          <w:szCs w:val="22"/>
          <w:lang w:val="en-GB"/>
        </w:rPr>
      </w:pPr>
      <w:r w:rsidRPr="00DA0A1E">
        <w:rPr>
          <w:sz w:val="22"/>
          <w:szCs w:val="22"/>
          <w:lang w:val="en-GB"/>
        </w:rPr>
        <w:t xml:space="preserve">Sri Lanka ratified the </w:t>
      </w:r>
      <w:r w:rsidRPr="00DA0A1E">
        <w:rPr>
          <w:b/>
          <w:bCs/>
          <w:sz w:val="22"/>
          <w:szCs w:val="22"/>
          <w:lang w:val="en-GB"/>
        </w:rPr>
        <w:t>International Covenant on Civil and Political Rights (ICCPR) in 1980</w:t>
      </w:r>
      <w:r w:rsidRPr="00DA0A1E">
        <w:rPr>
          <w:sz w:val="22"/>
          <w:szCs w:val="22"/>
          <w:lang w:val="en-GB"/>
        </w:rPr>
        <w:t>, reinforcing the government’s obligation to provide free legal assistance.</w:t>
      </w:r>
      <w:r w:rsidRPr="007A5C5F">
        <w:rPr>
          <w:sz w:val="22"/>
          <w:szCs w:val="22"/>
          <w:lang w:val="en-GB"/>
        </w:rPr>
        <w:t xml:space="preserve"> Legal Aid Commission (LAC) is the mechanism through which the Sri Lankan government has institutionalized its commitment to the provision of legal aid. The </w:t>
      </w:r>
      <w:r w:rsidRPr="007A5C5F">
        <w:rPr>
          <w:b/>
          <w:bCs/>
          <w:sz w:val="22"/>
          <w:szCs w:val="22"/>
          <w:lang w:val="en-GB"/>
        </w:rPr>
        <w:t>LAC</w:t>
      </w:r>
      <w:r w:rsidRPr="007A5C5F">
        <w:rPr>
          <w:sz w:val="22"/>
          <w:szCs w:val="22"/>
          <w:lang w:val="en-GB"/>
        </w:rPr>
        <w:t xml:space="preserve"> was established under the </w:t>
      </w:r>
      <w:r w:rsidRPr="007A5C5F">
        <w:rPr>
          <w:b/>
          <w:bCs/>
          <w:sz w:val="22"/>
          <w:szCs w:val="22"/>
          <w:lang w:val="en-GB"/>
        </w:rPr>
        <w:t>Legal Aid Act No. 27 of 1978</w:t>
      </w:r>
      <w:r w:rsidRPr="007A5C5F">
        <w:rPr>
          <w:sz w:val="22"/>
          <w:szCs w:val="22"/>
          <w:lang w:val="en-GB"/>
        </w:rPr>
        <w:t xml:space="preserve">, providing a statutory framework for legal aid services. LAC’s </w:t>
      </w:r>
      <w:r w:rsidR="00EC57B7" w:rsidRPr="007A5C5F">
        <w:rPr>
          <w:sz w:val="22"/>
          <w:szCs w:val="22"/>
          <w:lang w:val="en-GB"/>
        </w:rPr>
        <w:t>focus</w:t>
      </w:r>
      <w:r w:rsidRPr="007A5C5F">
        <w:rPr>
          <w:sz w:val="22"/>
          <w:szCs w:val="22"/>
          <w:lang w:val="en-GB"/>
        </w:rPr>
        <w:t xml:space="preserve"> is litigation, but it also operates several </w:t>
      </w:r>
      <w:r>
        <w:rPr>
          <w:sz w:val="22"/>
          <w:szCs w:val="22"/>
          <w:lang w:val="en-GB"/>
        </w:rPr>
        <w:t>subject-specific</w:t>
      </w:r>
      <w:r w:rsidRPr="007A5C5F">
        <w:rPr>
          <w:sz w:val="22"/>
          <w:szCs w:val="22"/>
          <w:lang w:val="en-GB"/>
        </w:rPr>
        <w:t xml:space="preserve"> desks and projects.</w:t>
      </w:r>
      <w:r w:rsidRPr="007A5C5F">
        <w:rPr>
          <w:lang w:val="en-GB"/>
        </w:rPr>
        <w:t xml:space="preserve"> </w:t>
      </w:r>
      <w:r w:rsidRPr="007A5C5F">
        <w:rPr>
          <w:sz w:val="22"/>
          <w:szCs w:val="22"/>
          <w:lang w:val="en-GB"/>
        </w:rPr>
        <w:t xml:space="preserve">Despite these frameworks, </w:t>
      </w:r>
      <w:r w:rsidRPr="007A5C5F">
        <w:rPr>
          <w:b/>
          <w:bCs/>
          <w:sz w:val="22"/>
          <w:szCs w:val="22"/>
          <w:lang w:val="en-GB"/>
        </w:rPr>
        <w:t>legal aid provision remains fragmented</w:t>
      </w:r>
      <w:r w:rsidRPr="007A5C5F">
        <w:rPr>
          <w:sz w:val="22"/>
          <w:szCs w:val="22"/>
          <w:lang w:val="en-GB"/>
        </w:rPr>
        <w:t xml:space="preserve">, with </w:t>
      </w:r>
      <w:r w:rsidRPr="007A5C5F">
        <w:rPr>
          <w:b/>
          <w:bCs/>
          <w:sz w:val="22"/>
          <w:szCs w:val="22"/>
          <w:lang w:val="en-GB"/>
        </w:rPr>
        <w:t>unequal geographic coverage</w:t>
      </w:r>
      <w:r w:rsidRPr="007A5C5F">
        <w:rPr>
          <w:sz w:val="22"/>
          <w:szCs w:val="22"/>
          <w:lang w:val="en-GB"/>
        </w:rPr>
        <w:t xml:space="preserve"> and </w:t>
      </w:r>
      <w:r w:rsidRPr="007A5C5F">
        <w:rPr>
          <w:b/>
          <w:bCs/>
          <w:sz w:val="22"/>
          <w:szCs w:val="22"/>
          <w:lang w:val="en-GB"/>
        </w:rPr>
        <w:t>limited funding</w:t>
      </w:r>
      <w:r w:rsidRPr="007A5C5F">
        <w:rPr>
          <w:sz w:val="22"/>
          <w:szCs w:val="22"/>
          <w:lang w:val="en-GB"/>
        </w:rPr>
        <w:t xml:space="preserve"> (Source: Legal Aid Act No. 27 of 1978, ICCPR Act No. 56 of 2007).</w:t>
      </w:r>
    </w:p>
    <w:p w14:paraId="20A2B3A1" w14:textId="77777777" w:rsidR="00EA79BF" w:rsidRPr="007A5C5F" w:rsidRDefault="00EA79BF" w:rsidP="00EA79BF">
      <w:pPr>
        <w:tabs>
          <w:tab w:val="left" w:pos="1440"/>
        </w:tabs>
        <w:jc w:val="both"/>
        <w:rPr>
          <w:sz w:val="22"/>
          <w:szCs w:val="22"/>
          <w:lang w:val="en-GB"/>
        </w:rPr>
      </w:pPr>
      <w:r w:rsidRPr="00996BAA">
        <w:rPr>
          <w:sz w:val="22"/>
          <w:szCs w:val="22"/>
          <w:lang w:val="en-GB"/>
        </w:rPr>
        <w:t xml:space="preserve">The </w:t>
      </w:r>
      <w:r w:rsidRPr="00996BAA">
        <w:rPr>
          <w:i/>
          <w:iCs/>
          <w:sz w:val="22"/>
          <w:szCs w:val="22"/>
          <w:lang w:val="en-GB"/>
        </w:rPr>
        <w:t>Final Report on Stakeholder Mapping with Recommendations</w:t>
      </w:r>
      <w:r w:rsidRPr="00996BAA">
        <w:rPr>
          <w:sz w:val="22"/>
          <w:szCs w:val="22"/>
          <w:lang w:val="en-GB"/>
        </w:rPr>
        <w:t xml:space="preserve"> presents key findings and strategic recommendations to enhance Sri Lanka’s legal aid system</w:t>
      </w:r>
      <w:r w:rsidRPr="007A5C5F">
        <w:rPr>
          <w:sz w:val="22"/>
          <w:szCs w:val="22"/>
          <w:lang w:val="en-GB"/>
        </w:rPr>
        <w:t>.</w:t>
      </w:r>
      <w:r w:rsidRPr="007A5C5F">
        <w:rPr>
          <w:rStyle w:val="FootnoteReference"/>
          <w:sz w:val="22"/>
          <w:szCs w:val="22"/>
          <w:lang w:val="en-GB"/>
        </w:rPr>
        <w:footnoteReference w:id="15"/>
      </w:r>
      <w:r w:rsidRPr="00996BAA">
        <w:rPr>
          <w:sz w:val="22"/>
          <w:szCs w:val="22"/>
          <w:lang w:val="en-GB"/>
        </w:rPr>
        <w:t xml:space="preserve"> The report identifies significant gaps in accessibility, particularly for marginalized groups such as women, children, and persons with disabilities. A lack of coordination between key stakeholders—including the Legal Aid Commission (LAC), civil society organizations (CSOs), and law enforcement agencies—has hindered the efficient delivery of legal aid services</w:t>
      </w:r>
      <w:r w:rsidRPr="007A5C5F">
        <w:rPr>
          <w:sz w:val="22"/>
          <w:szCs w:val="22"/>
          <w:lang w:val="en-GB"/>
        </w:rPr>
        <w:t>.</w:t>
      </w:r>
      <w:r w:rsidRPr="007A5C5F">
        <w:rPr>
          <w:rStyle w:val="FootnoteReference"/>
          <w:sz w:val="22"/>
          <w:szCs w:val="22"/>
          <w:lang w:val="en-GB"/>
        </w:rPr>
        <w:footnoteReference w:id="16"/>
      </w:r>
      <w:r w:rsidRPr="00996BAA">
        <w:rPr>
          <w:sz w:val="22"/>
          <w:szCs w:val="22"/>
          <w:lang w:val="en-GB"/>
        </w:rPr>
        <w:t xml:space="preserve">Additionally, the report highlights deficiencies in legal aid infrastructure, including insufficient training for legal aid providers and an overly narrow focus on family law cases, which limits representation in criminal and fundamental rights </w:t>
      </w:r>
      <w:r w:rsidRPr="007A5C5F">
        <w:rPr>
          <w:sz w:val="22"/>
          <w:szCs w:val="22"/>
          <w:lang w:val="en-GB"/>
        </w:rPr>
        <w:t>matters. To</w:t>
      </w:r>
      <w:r w:rsidRPr="00996BAA">
        <w:rPr>
          <w:sz w:val="22"/>
          <w:szCs w:val="22"/>
          <w:lang w:val="en-GB"/>
        </w:rPr>
        <w:t xml:space="preserve"> address these issues, the report recommends broadening the definition of legal aid to encompass a wider range of legal services, establishing robust referral systems through local authorities, and formalizing law student placements to support legal counselling. Mid-term recommendations focus on improving staff training, restructuring the LAC to include a broader range of stakeholders, and integrating judicial oversight. Long-term strategies advocate for recognizing legal literacy as a constitutional right, creating an independent body to coordinate legal aid efforts, and developing a performance appraisal system for legal aid providers. These measures aim to make the legal aid system more inclusive, coordinated, and responsive to the justice needs of vulnerable communities</w:t>
      </w:r>
      <w:r w:rsidRPr="007A5C5F">
        <w:rPr>
          <w:sz w:val="22"/>
          <w:szCs w:val="22"/>
          <w:lang w:val="en-GB"/>
        </w:rPr>
        <w:t>.</w:t>
      </w:r>
      <w:r w:rsidRPr="007A5C5F">
        <w:rPr>
          <w:rStyle w:val="FootnoteReference"/>
          <w:sz w:val="22"/>
          <w:szCs w:val="22"/>
          <w:lang w:val="en-GB"/>
        </w:rPr>
        <w:footnoteReference w:id="17"/>
      </w:r>
      <w:r w:rsidRPr="00996BAA">
        <w:rPr>
          <w:sz w:val="22"/>
          <w:szCs w:val="22"/>
          <w:lang w:val="en-GB"/>
        </w:rPr>
        <w:t xml:space="preserve"> </w:t>
      </w:r>
    </w:p>
    <w:p w14:paraId="1CD1E42F" w14:textId="77777777" w:rsidR="00EA79BF" w:rsidRPr="007A5C5F" w:rsidRDefault="00EA79BF" w:rsidP="00EA79BF">
      <w:pPr>
        <w:tabs>
          <w:tab w:val="left" w:pos="1440"/>
        </w:tabs>
        <w:jc w:val="both"/>
        <w:rPr>
          <w:sz w:val="22"/>
          <w:szCs w:val="22"/>
          <w:lang w:val="en-GB"/>
        </w:rPr>
      </w:pPr>
    </w:p>
    <w:p w14:paraId="3B2B977F" w14:textId="74F978C7" w:rsidR="00EA79BF" w:rsidRPr="007A5C5F" w:rsidRDefault="00EA79BF" w:rsidP="00EA79BF">
      <w:pPr>
        <w:tabs>
          <w:tab w:val="left" w:pos="1440"/>
        </w:tabs>
        <w:jc w:val="both"/>
        <w:rPr>
          <w:b/>
          <w:bCs/>
          <w:color w:val="000000" w:themeColor="text1"/>
          <w:sz w:val="22"/>
          <w:szCs w:val="22"/>
          <w:lang w:val="en-GB"/>
        </w:rPr>
      </w:pPr>
      <w:r w:rsidRPr="007A5C5F">
        <w:rPr>
          <w:b/>
          <w:bCs/>
          <w:color w:val="000000" w:themeColor="text1"/>
          <w:sz w:val="22"/>
          <w:szCs w:val="22"/>
          <w:lang w:val="en-GB"/>
        </w:rPr>
        <w:t xml:space="preserve">Donor support </w:t>
      </w:r>
      <w:r>
        <w:rPr>
          <w:b/>
          <w:bCs/>
          <w:color w:val="000000" w:themeColor="text1"/>
          <w:sz w:val="22"/>
          <w:szCs w:val="22"/>
          <w:lang w:val="en-GB"/>
        </w:rPr>
        <w:t xml:space="preserve">available </w:t>
      </w:r>
      <w:r w:rsidRPr="007A5C5F">
        <w:rPr>
          <w:b/>
          <w:bCs/>
          <w:color w:val="000000" w:themeColor="text1"/>
          <w:sz w:val="22"/>
          <w:szCs w:val="22"/>
          <w:lang w:val="en-GB"/>
        </w:rPr>
        <w:t>to the Legal Aid</w:t>
      </w:r>
      <w:r>
        <w:rPr>
          <w:b/>
          <w:bCs/>
          <w:color w:val="000000" w:themeColor="text1"/>
          <w:sz w:val="22"/>
          <w:szCs w:val="22"/>
          <w:lang w:val="en-GB"/>
        </w:rPr>
        <w:t xml:space="preserve"> sector</w:t>
      </w:r>
      <w:r w:rsidRPr="007A5C5F">
        <w:rPr>
          <w:b/>
          <w:bCs/>
          <w:color w:val="000000" w:themeColor="text1"/>
          <w:sz w:val="22"/>
          <w:szCs w:val="22"/>
          <w:lang w:val="en-GB"/>
        </w:rPr>
        <w:t>.</w:t>
      </w:r>
    </w:p>
    <w:p w14:paraId="125FB45D" w14:textId="77777777" w:rsidR="00EA79BF" w:rsidRPr="007A5C5F" w:rsidRDefault="00EA79BF" w:rsidP="00EA79BF">
      <w:pPr>
        <w:tabs>
          <w:tab w:val="left" w:pos="1440"/>
        </w:tabs>
        <w:jc w:val="both"/>
        <w:rPr>
          <w:sz w:val="22"/>
          <w:szCs w:val="22"/>
          <w:lang w:val="en-GB"/>
        </w:rPr>
      </w:pPr>
      <w:r w:rsidRPr="00DA0A1E">
        <w:rPr>
          <w:sz w:val="22"/>
          <w:szCs w:val="22"/>
          <w:lang w:val="en-GB"/>
        </w:rPr>
        <w:t xml:space="preserve">The 2009 study, </w:t>
      </w:r>
      <w:r w:rsidRPr="00DA0A1E">
        <w:rPr>
          <w:i/>
          <w:iCs/>
          <w:sz w:val="22"/>
          <w:szCs w:val="22"/>
          <w:lang w:val="en-GB"/>
        </w:rPr>
        <w:t>The Legal Aid Sector in Sri Lanka: Searching for Sustainable Solutions</w:t>
      </w:r>
      <w:r w:rsidRPr="00DA0A1E">
        <w:rPr>
          <w:sz w:val="22"/>
          <w:szCs w:val="22"/>
          <w:lang w:val="en-GB"/>
        </w:rPr>
        <w:t xml:space="preserve">, conducted by UNDP, UNHCR, and The Asia Foundation, provided a comprehensive assessment of Sri Lanka’s legal aid system. It </w:t>
      </w:r>
      <w:r w:rsidRPr="00DA0A1E">
        <w:rPr>
          <w:sz w:val="22"/>
          <w:szCs w:val="22"/>
          <w:lang w:val="en-GB"/>
        </w:rPr>
        <w:lastRenderedPageBreak/>
        <w:t>highlighted persistent challenges in accessibility, sustainability, and institutional effectiveness while offering strategic recommendations for long-term reform.</w:t>
      </w:r>
      <w:r w:rsidRPr="007A5C5F">
        <w:rPr>
          <w:sz w:val="22"/>
          <w:szCs w:val="22"/>
          <w:lang w:val="en-GB"/>
        </w:rPr>
        <w:t xml:space="preserve"> It provides that </w:t>
      </w:r>
      <w:r w:rsidRPr="00DA0A1E">
        <w:rPr>
          <w:sz w:val="22"/>
          <w:szCs w:val="22"/>
          <w:lang w:val="en-GB"/>
        </w:rPr>
        <w:t xml:space="preserve">Legal aid in Sri Lanka has historically relied on donor support, </w:t>
      </w:r>
      <w:r w:rsidRPr="00DA0A1E">
        <w:rPr>
          <w:b/>
          <w:bCs/>
          <w:sz w:val="22"/>
          <w:szCs w:val="22"/>
          <w:lang w:val="en-GB"/>
        </w:rPr>
        <w:t>with government funding increasing from Rs. 700,000 (USD 6,500) in 1996 to Rs. 50 million (USD 462,000) in 2007-2008</w:t>
      </w:r>
      <w:r w:rsidRPr="007A5C5F">
        <w:rPr>
          <w:rStyle w:val="FootnoteReference"/>
          <w:sz w:val="22"/>
          <w:szCs w:val="22"/>
          <w:lang w:val="en-GB"/>
        </w:rPr>
        <w:footnoteReference w:id="18"/>
      </w:r>
      <w:r w:rsidRPr="00DA0A1E">
        <w:rPr>
          <w:sz w:val="22"/>
          <w:szCs w:val="22"/>
          <w:lang w:val="en-GB"/>
        </w:rPr>
        <w:t xml:space="preserve">. However, this funding remained insufficient and inconsistently allocated, with a disproportionate focus on family law cases rather than criminal </w:t>
      </w:r>
      <w:r>
        <w:rPr>
          <w:sz w:val="22"/>
          <w:szCs w:val="22"/>
          <w:lang w:val="en-GB"/>
        </w:rPr>
        <w:t>defence</w:t>
      </w:r>
      <w:r w:rsidRPr="00DA0A1E">
        <w:rPr>
          <w:sz w:val="22"/>
          <w:szCs w:val="22"/>
          <w:lang w:val="en-GB"/>
        </w:rPr>
        <w:t>, fundamental rights, or land disputes. The system also suffered from poor coordination between the LAC, civil society organizations, and law enforcement agencies, further limiting its effectiveness.</w:t>
      </w:r>
      <w:r w:rsidRPr="007A5C5F">
        <w:rPr>
          <w:sz w:val="22"/>
          <w:szCs w:val="22"/>
          <w:lang w:val="en-GB"/>
        </w:rPr>
        <w:t xml:space="preserve"> </w:t>
      </w:r>
      <w:r w:rsidRPr="00DA0A1E">
        <w:rPr>
          <w:sz w:val="22"/>
          <w:szCs w:val="22"/>
          <w:lang w:val="en-GB"/>
        </w:rPr>
        <w:t>Geographic disparities in service provision were stark. While urban areas had some legal aid presence, many rural and conflict-affected districts, such as Kilinochchi and Mullaitivu, lacked any legal aid services. Vulnerable groups, including women, children, displaced persons, and persons with disabilities, faced additional barriers, particularly in accessing legal representation for domestic violence, inheritance, and land disputes. At the same time, court delays and case backlogs remained a major obstacle to justice despite a 72% beneficiary satisfaction rate</w:t>
      </w:r>
      <w:r w:rsidRPr="007A5C5F">
        <w:rPr>
          <w:rStyle w:val="FootnoteReference"/>
          <w:sz w:val="22"/>
          <w:szCs w:val="22"/>
          <w:lang w:val="en-GB"/>
        </w:rPr>
        <w:footnoteReference w:id="19"/>
      </w:r>
      <w:r w:rsidRPr="00DA0A1E">
        <w:rPr>
          <w:sz w:val="22"/>
          <w:szCs w:val="22"/>
          <w:lang w:val="en-GB"/>
        </w:rPr>
        <w:t>. The introduction of 329 Community Mediation Boards with 8,400 trained mediators provided an alternative to litigation, particularly in land disputes, but awareness and accessibility of these services remained limited.</w:t>
      </w:r>
    </w:p>
    <w:p w14:paraId="4868EDBD" w14:textId="154571C2" w:rsidR="00EA79BF" w:rsidRPr="00DA0A1E" w:rsidRDefault="00EA79BF" w:rsidP="00EA79BF">
      <w:pPr>
        <w:tabs>
          <w:tab w:val="left" w:pos="1440"/>
        </w:tabs>
        <w:jc w:val="both"/>
        <w:rPr>
          <w:sz w:val="22"/>
          <w:szCs w:val="22"/>
          <w:lang w:val="en-GB"/>
        </w:rPr>
      </w:pPr>
      <w:r w:rsidRPr="00DA0A1E">
        <w:rPr>
          <w:sz w:val="22"/>
          <w:szCs w:val="22"/>
          <w:lang w:val="en-GB"/>
        </w:rPr>
        <w:t>The study recommended short-, mid-, and long-term reforms to address these systemic challenges. In the immediate term, it called for expanding legal aid coverage in underrepresented districts, enhancing referral mechanisms between legal aid providers and state institutions, and broadening the scope of legal aid to include criminal and administrative cases. Mid-term strategies focused on reducing donor dependency through the establishment of a government-backed Legal Aid Fund, strengthening training programs for legal aid providers, and introducing a performance monitoring system. In the long term, the report advocated for recognizing legal literacy as a constitutional right, establishing an independent legal aid oversight body, and digitizing legal aid services through e-filing and case tracking systems.</w:t>
      </w:r>
      <w:r w:rsidR="009D22EB">
        <w:rPr>
          <w:sz w:val="22"/>
          <w:szCs w:val="22"/>
          <w:lang w:val="en-GB"/>
        </w:rPr>
        <w:t xml:space="preserve"> </w:t>
      </w:r>
      <w:r w:rsidRPr="00DA0A1E">
        <w:rPr>
          <w:b/>
          <w:bCs/>
          <w:sz w:val="22"/>
          <w:szCs w:val="22"/>
          <w:lang w:val="en-GB"/>
        </w:rPr>
        <w:t>Despite being written 15 years ago</w:t>
      </w:r>
      <w:r w:rsidRPr="00DA0A1E">
        <w:rPr>
          <w:sz w:val="22"/>
          <w:szCs w:val="22"/>
          <w:lang w:val="en-GB"/>
        </w:rPr>
        <w:t>, the findings, conclusions, and recommendations of this study remain highly relevant today. The persistent lack of sustainability, weak institutional coordination, and inadequate access to legal aid for marginalized communities indicate that past interventions have failed to generate meaningful, long-term improvements. This underscores the urgent need for a fundamental shift in donor and national agency strategies—moving away from a business-as-usual approach toward a systemic, sustainable, and transformative model of legal aid provision.</w:t>
      </w:r>
    </w:p>
    <w:p w14:paraId="7C753550" w14:textId="77777777" w:rsidR="00EA79BF" w:rsidRPr="007A5C5F" w:rsidRDefault="00EA79BF" w:rsidP="00EA79BF">
      <w:pPr>
        <w:tabs>
          <w:tab w:val="left" w:pos="1440"/>
        </w:tabs>
        <w:jc w:val="both"/>
        <w:rPr>
          <w:b/>
          <w:bCs/>
          <w:color w:val="ED7D31" w:themeColor="accent2"/>
          <w:sz w:val="22"/>
          <w:szCs w:val="22"/>
          <w:lang w:val="en-GB"/>
        </w:rPr>
      </w:pPr>
    </w:p>
    <w:p w14:paraId="378B2D1B" w14:textId="77777777" w:rsidR="00EA79BF" w:rsidRPr="00996BAA" w:rsidRDefault="00EA79BF" w:rsidP="00EA79BF">
      <w:pPr>
        <w:tabs>
          <w:tab w:val="left" w:pos="1440"/>
        </w:tabs>
        <w:jc w:val="both"/>
        <w:rPr>
          <w:b/>
          <w:bCs/>
          <w:color w:val="000000" w:themeColor="text1"/>
          <w:sz w:val="22"/>
          <w:szCs w:val="22"/>
          <w:lang w:val="en-GB"/>
        </w:rPr>
      </w:pPr>
      <w:r w:rsidRPr="00996BAA">
        <w:rPr>
          <w:b/>
          <w:bCs/>
          <w:color w:val="000000" w:themeColor="text1"/>
          <w:sz w:val="22"/>
          <w:szCs w:val="22"/>
          <w:lang w:val="en-GB"/>
        </w:rPr>
        <w:t>Judicial Sector Reforms</w:t>
      </w:r>
    </w:p>
    <w:p w14:paraId="714E4623" w14:textId="77777777" w:rsidR="00EA79BF" w:rsidRPr="00996BAA" w:rsidRDefault="00EA79BF" w:rsidP="00EA79BF">
      <w:pPr>
        <w:tabs>
          <w:tab w:val="left" w:pos="1440"/>
        </w:tabs>
        <w:jc w:val="both"/>
        <w:rPr>
          <w:sz w:val="22"/>
          <w:szCs w:val="22"/>
          <w:lang w:val="en-GB"/>
        </w:rPr>
      </w:pPr>
      <w:r w:rsidRPr="00996BAA">
        <w:rPr>
          <w:sz w:val="22"/>
          <w:szCs w:val="22"/>
          <w:lang w:val="en-GB"/>
        </w:rPr>
        <w:t>Sri Lanka faces a shortage of judges relative to its population</w:t>
      </w:r>
      <w:r w:rsidRPr="007A5C5F">
        <w:rPr>
          <w:rStyle w:val="FootnoteReference"/>
          <w:sz w:val="22"/>
          <w:szCs w:val="22"/>
          <w:lang w:val="en-GB"/>
        </w:rPr>
        <w:footnoteReference w:id="20"/>
      </w:r>
      <w:r w:rsidRPr="00996BAA">
        <w:rPr>
          <w:sz w:val="22"/>
          <w:szCs w:val="22"/>
          <w:lang w:val="en-GB"/>
        </w:rPr>
        <w:t>, significantly impacting case backlogs and judicial efficiency</w:t>
      </w:r>
      <w:r w:rsidRPr="007A5C5F">
        <w:rPr>
          <w:sz w:val="22"/>
          <w:szCs w:val="22"/>
          <w:lang w:val="en-GB"/>
        </w:rPr>
        <w:t>.</w:t>
      </w:r>
      <w:r w:rsidRPr="007A5C5F">
        <w:rPr>
          <w:rStyle w:val="FootnoteReference"/>
          <w:sz w:val="22"/>
          <w:szCs w:val="22"/>
          <w:lang w:val="en-GB"/>
        </w:rPr>
        <w:footnoteReference w:id="21"/>
      </w:r>
      <w:r w:rsidRPr="00996BAA">
        <w:rPr>
          <w:sz w:val="22"/>
          <w:szCs w:val="22"/>
          <w:lang w:val="en-GB"/>
        </w:rPr>
        <w:t>In response, the Ministry of Justice initiated a program in 2020 to expand judicial capacity by increasing the number of judges and courts. Despite economic challenges, 30 judicial officers were recruited in 2023, allowing for a modest expansion of judicial services. As a result, the number of judges per million people has risen to 19. Additionally, Small Claims Courts have been introduced to alleviate the burden on District Courts, particularly in financial cases, with new courts established in Colombo, Kandy, and Matara.</w:t>
      </w:r>
    </w:p>
    <w:p w14:paraId="62E5AB0B" w14:textId="77777777" w:rsidR="00EA79BF" w:rsidRPr="007A5C5F" w:rsidRDefault="00EA79BF" w:rsidP="00EA79BF">
      <w:pPr>
        <w:tabs>
          <w:tab w:val="left" w:pos="1440"/>
        </w:tabs>
        <w:jc w:val="both"/>
        <w:rPr>
          <w:lang w:val="en-GB"/>
        </w:rPr>
      </w:pPr>
      <w:r w:rsidRPr="00996BAA">
        <w:rPr>
          <w:sz w:val="22"/>
          <w:szCs w:val="22"/>
          <w:lang w:val="en-GB"/>
        </w:rPr>
        <w:t>While infrastructure development efforts have progressed, economic instability and fluctuating market prices have posed challenges to the completion of new court facilities. Many projects faced temporary suspension due to expenditure control measures. Nevertheless, the Ratnapura and Welimada Court Complexes have been completed and handed over, while the Theldeniya and Galle Court Complexes are nearing completion.</w:t>
      </w:r>
      <w:r w:rsidRPr="007A5C5F">
        <w:rPr>
          <w:lang w:val="en-GB"/>
        </w:rPr>
        <w:t xml:space="preserve"> </w:t>
      </w:r>
      <w:r w:rsidRPr="005A38AF">
        <w:rPr>
          <w:sz w:val="22"/>
          <w:szCs w:val="22"/>
          <w:lang w:val="en-GB"/>
        </w:rPr>
        <w:t>In 2020, the prison system operated at 260% capacity, the highest in South Asia, highlighting systemic inefficiencies</w:t>
      </w:r>
      <w:r w:rsidRPr="007A5C5F">
        <w:rPr>
          <w:sz w:val="22"/>
          <w:szCs w:val="22"/>
          <w:lang w:val="en-GB"/>
        </w:rPr>
        <w:t>.</w:t>
      </w:r>
      <w:r w:rsidRPr="007A5C5F">
        <w:rPr>
          <w:rStyle w:val="FootnoteReference"/>
          <w:sz w:val="22"/>
          <w:szCs w:val="22"/>
          <w:lang w:val="en-GB"/>
        </w:rPr>
        <w:footnoteReference w:id="22"/>
      </w:r>
      <w:r w:rsidRPr="005A38AF">
        <w:rPr>
          <w:sz w:val="22"/>
          <w:szCs w:val="22"/>
          <w:lang w:val="en-GB"/>
        </w:rPr>
        <w:t>The government has taken steps to mitigate these issues, including the release of 2,961 remand prisoners on bail, yet long delays in judicial processes persist, with 30% of remand prisoners awaiting sentencing for six months to over two years</w:t>
      </w:r>
      <w:r w:rsidRPr="007A5C5F">
        <w:rPr>
          <w:sz w:val="22"/>
          <w:szCs w:val="22"/>
          <w:lang w:val="en-GB"/>
        </w:rPr>
        <w:t>.</w:t>
      </w:r>
      <w:r w:rsidRPr="007A5C5F">
        <w:rPr>
          <w:rStyle w:val="FootnoteReference"/>
          <w:sz w:val="22"/>
          <w:szCs w:val="22"/>
          <w:lang w:val="en-GB"/>
        </w:rPr>
        <w:footnoteReference w:id="23"/>
      </w:r>
    </w:p>
    <w:p w14:paraId="1FDFA86E" w14:textId="77777777" w:rsidR="00EA79BF" w:rsidRPr="007A5C5F" w:rsidRDefault="00EA79BF" w:rsidP="00EA79BF">
      <w:pPr>
        <w:tabs>
          <w:tab w:val="left" w:pos="1440"/>
        </w:tabs>
        <w:jc w:val="both"/>
        <w:rPr>
          <w:lang w:val="en-GB"/>
        </w:rPr>
      </w:pPr>
    </w:p>
    <w:p w14:paraId="624D38DC" w14:textId="64660CE9" w:rsidR="00EA79BF" w:rsidRPr="007A5C5F" w:rsidRDefault="00EA79BF" w:rsidP="00EA79BF">
      <w:pPr>
        <w:pStyle w:val="Caption"/>
        <w:rPr>
          <w:lang w:val="en-GB"/>
        </w:rPr>
      </w:pPr>
      <w:r w:rsidRPr="007A5C5F">
        <w:rPr>
          <w:lang w:val="en-GB"/>
        </w:rPr>
        <w:t xml:space="preserve">Figure </w:t>
      </w:r>
      <w:r w:rsidRPr="007A5C5F">
        <w:rPr>
          <w:lang w:val="en-GB"/>
        </w:rPr>
        <w:fldChar w:fldCharType="begin"/>
      </w:r>
      <w:r w:rsidRPr="007A5C5F">
        <w:rPr>
          <w:lang w:val="en-GB"/>
        </w:rPr>
        <w:instrText xml:space="preserve"> SEQ Figure \* ARABIC </w:instrText>
      </w:r>
      <w:r w:rsidRPr="007A5C5F">
        <w:rPr>
          <w:lang w:val="en-GB"/>
        </w:rPr>
        <w:fldChar w:fldCharType="separate"/>
      </w:r>
      <w:r w:rsidR="0095181E">
        <w:rPr>
          <w:noProof/>
          <w:lang w:val="en-GB"/>
        </w:rPr>
        <w:t>1</w:t>
      </w:r>
      <w:r w:rsidRPr="007A5C5F">
        <w:rPr>
          <w:lang w:val="en-GB"/>
        </w:rPr>
        <w:fldChar w:fldCharType="end"/>
      </w:r>
      <w:r w:rsidRPr="007A5C5F">
        <w:rPr>
          <w:lang w:val="en-GB"/>
        </w:rPr>
        <w:t>.</w:t>
      </w:r>
      <w:r>
        <w:rPr>
          <w:lang w:val="en-GB"/>
        </w:rPr>
        <w:t xml:space="preserve"> </w:t>
      </w:r>
      <w:r w:rsidRPr="007A5C5F">
        <w:rPr>
          <w:lang w:val="en-GB"/>
        </w:rPr>
        <w:t>MoJ Statistics on Court Cases</w:t>
      </w:r>
    </w:p>
    <w:tbl>
      <w:tblPr>
        <w:tblStyle w:val="TableGridLight"/>
        <w:tblW w:w="9606" w:type="dxa"/>
        <w:tblLook w:val="04A0" w:firstRow="1" w:lastRow="0" w:firstColumn="1" w:lastColumn="0" w:noHBand="0" w:noVBand="1"/>
      </w:tblPr>
      <w:tblGrid>
        <w:gridCol w:w="9606"/>
      </w:tblGrid>
      <w:tr w:rsidR="00EA79BF" w:rsidRPr="007A5C5F" w14:paraId="3222B51E" w14:textId="77777777" w:rsidTr="00EE71C7">
        <w:trPr>
          <w:trHeight w:val="4294"/>
        </w:trPr>
        <w:tc>
          <w:tcPr>
            <w:tcW w:w="9606" w:type="dxa"/>
            <w:shd w:val="clear" w:color="auto" w:fill="E7E6E6" w:themeFill="background2"/>
          </w:tcPr>
          <w:p w14:paraId="478B32E7" w14:textId="77777777" w:rsidR="00EA79BF" w:rsidRPr="007A5C5F" w:rsidRDefault="00EA79BF" w:rsidP="00EE71C7">
            <w:pPr>
              <w:tabs>
                <w:tab w:val="left" w:pos="1440"/>
              </w:tabs>
              <w:jc w:val="both"/>
              <w:rPr>
                <w:sz w:val="22"/>
                <w:szCs w:val="22"/>
                <w:lang w:val="en-GB"/>
              </w:rPr>
            </w:pPr>
          </w:p>
          <w:p w14:paraId="422C9FBC" w14:textId="77777777" w:rsidR="00EA79BF" w:rsidRPr="007A5C5F" w:rsidRDefault="00EA79BF" w:rsidP="00EE71C7">
            <w:pPr>
              <w:tabs>
                <w:tab w:val="left" w:pos="1440"/>
              </w:tabs>
              <w:snapToGrid w:val="0"/>
              <w:ind w:left="113" w:right="510"/>
              <w:jc w:val="both"/>
              <w:rPr>
                <w:i/>
                <w:iCs/>
                <w:sz w:val="22"/>
                <w:szCs w:val="22"/>
                <w:lang w:val="en-GB"/>
              </w:rPr>
            </w:pPr>
            <w:r w:rsidRPr="007A5C5F">
              <w:rPr>
                <w:i/>
                <w:iCs/>
                <w:sz w:val="22"/>
                <w:szCs w:val="22"/>
                <w:lang w:val="en-GB"/>
              </w:rPr>
              <w:t>Based on the provided court case statistics, the Sri Lankan judiciary continues to grapple with a significant backlog of pending cases despite achieving an overall case resolution efficiency rate of 73.64%</w:t>
            </w:r>
            <w:r w:rsidRPr="007A5C5F">
              <w:rPr>
                <w:rStyle w:val="FootnoteReference"/>
                <w:i/>
                <w:iCs/>
                <w:sz w:val="22"/>
                <w:szCs w:val="22"/>
                <w:lang w:val="en-GB"/>
              </w:rPr>
              <w:footnoteReference w:id="24"/>
            </w:r>
            <w:r w:rsidRPr="007A5C5F">
              <w:rPr>
                <w:i/>
                <w:iCs/>
                <w:sz w:val="22"/>
                <w:szCs w:val="22"/>
                <w:lang w:val="en-GB"/>
              </w:rPr>
              <w:t xml:space="preserve">. </w:t>
            </w:r>
            <w:r>
              <w:rPr>
                <w:i/>
                <w:iCs/>
                <w:sz w:val="22"/>
                <w:szCs w:val="22"/>
                <w:lang w:val="en-GB"/>
              </w:rPr>
              <w:t>Magistrate</w:t>
            </w:r>
            <w:r w:rsidRPr="007A5C5F">
              <w:rPr>
                <w:i/>
                <w:iCs/>
                <w:sz w:val="22"/>
                <w:szCs w:val="22"/>
                <w:lang w:val="en-GB"/>
              </w:rPr>
              <w:t xml:space="preserve"> Courts demonstrate the highest efficiency rate at 91.84%, reflecting their role in </w:t>
            </w:r>
            <w:r>
              <w:rPr>
                <w:i/>
                <w:iCs/>
                <w:sz w:val="22"/>
                <w:szCs w:val="22"/>
                <w:lang w:val="en-GB"/>
              </w:rPr>
              <w:t xml:space="preserve">expeditiously </w:t>
            </w:r>
            <w:r w:rsidRPr="007A5C5F">
              <w:rPr>
                <w:i/>
                <w:iCs/>
                <w:sz w:val="22"/>
                <w:szCs w:val="22"/>
                <w:lang w:val="en-GB"/>
              </w:rPr>
              <w:t xml:space="preserve">handling a large volume of minor </w:t>
            </w:r>
            <w:r>
              <w:rPr>
                <w:i/>
                <w:iCs/>
                <w:sz w:val="22"/>
                <w:szCs w:val="22"/>
                <w:lang w:val="en-GB"/>
              </w:rPr>
              <w:t>offences</w:t>
            </w:r>
            <w:r w:rsidRPr="007A5C5F">
              <w:rPr>
                <w:i/>
                <w:iCs/>
                <w:sz w:val="22"/>
                <w:szCs w:val="22"/>
                <w:lang w:val="en-GB"/>
              </w:rPr>
              <w:t xml:space="preserve"> and summary trials. </w:t>
            </w:r>
          </w:p>
          <w:p w14:paraId="44F8C4A4" w14:textId="77777777" w:rsidR="00EA79BF" w:rsidRPr="007A5C5F" w:rsidRDefault="00EA79BF" w:rsidP="00EE71C7">
            <w:pPr>
              <w:tabs>
                <w:tab w:val="left" w:pos="1440"/>
              </w:tabs>
              <w:snapToGrid w:val="0"/>
              <w:ind w:left="113" w:right="510"/>
              <w:jc w:val="both"/>
              <w:rPr>
                <w:i/>
                <w:iCs/>
                <w:sz w:val="22"/>
                <w:szCs w:val="22"/>
                <w:lang w:val="en-GB"/>
              </w:rPr>
            </w:pPr>
            <w:r w:rsidRPr="007A5C5F">
              <w:rPr>
                <w:i/>
                <w:iCs/>
                <w:sz w:val="22"/>
                <w:szCs w:val="22"/>
                <w:lang w:val="en-GB"/>
              </w:rPr>
              <w:t xml:space="preserve">Conversely, the Commercial High Court, with a resolution efficiency of just 13.52%, highlights </w:t>
            </w:r>
            <w:r>
              <w:rPr>
                <w:i/>
                <w:iCs/>
                <w:sz w:val="22"/>
                <w:szCs w:val="22"/>
                <w:lang w:val="en-GB"/>
              </w:rPr>
              <w:t xml:space="preserve">a </w:t>
            </w:r>
            <w:r w:rsidRPr="007A5C5F">
              <w:rPr>
                <w:i/>
                <w:iCs/>
                <w:sz w:val="22"/>
                <w:szCs w:val="22"/>
                <w:lang w:val="en-GB"/>
              </w:rPr>
              <w:t xml:space="preserve">delay in adjudicating business disputes, which could have adverse implications for investor confidence and economic activity. The Supreme Court and District Courts also struggle with efficiency, indicating the need for judicial reforms to enhance case management and procedural efficiency. While efforts to recruit judicial officers and establish additional court infrastructure are ongoing, economic constraints have hindered the timely completion of court complexes. </w:t>
            </w:r>
          </w:p>
          <w:p w14:paraId="169C9D26" w14:textId="77777777" w:rsidR="00EA79BF" w:rsidRPr="007A5C5F" w:rsidRDefault="00EA79BF" w:rsidP="00EE71C7">
            <w:pPr>
              <w:tabs>
                <w:tab w:val="left" w:pos="1440"/>
              </w:tabs>
              <w:snapToGrid w:val="0"/>
              <w:ind w:left="113" w:right="510"/>
              <w:jc w:val="both"/>
              <w:rPr>
                <w:i/>
                <w:iCs/>
                <w:sz w:val="22"/>
                <w:szCs w:val="22"/>
                <w:lang w:val="en-GB"/>
              </w:rPr>
            </w:pPr>
            <w:r w:rsidRPr="007A5C5F">
              <w:rPr>
                <w:i/>
                <w:iCs/>
                <w:sz w:val="22"/>
                <w:szCs w:val="22"/>
                <w:lang w:val="en-GB"/>
              </w:rPr>
              <w:t>Additionally, the expansion of Small Claims Courts in key urban areas represents a positive step towards reducing the burden on the judiciary. However, systemic delays in high courts and appellate courts underscored the need for further digitalization, streamlined procedures, and improved coordination among legal aid providers to ensure equitable access to justice</w:t>
            </w:r>
            <w:r w:rsidRPr="007A5C5F">
              <w:rPr>
                <w:rStyle w:val="FootnoteReference"/>
                <w:i/>
                <w:iCs/>
                <w:sz w:val="22"/>
                <w:szCs w:val="22"/>
                <w:lang w:val="en-GB"/>
              </w:rPr>
              <w:footnoteReference w:id="25"/>
            </w:r>
            <w:r w:rsidRPr="007A5C5F">
              <w:rPr>
                <w:i/>
                <w:iCs/>
                <w:sz w:val="22"/>
                <w:szCs w:val="22"/>
                <w:lang w:val="en-GB"/>
              </w:rPr>
              <w:t>.</w:t>
            </w:r>
          </w:p>
          <w:p w14:paraId="11457EEB" w14:textId="77777777" w:rsidR="00EA79BF" w:rsidRPr="007A5C5F" w:rsidRDefault="00EA79BF" w:rsidP="00EE71C7">
            <w:pPr>
              <w:tabs>
                <w:tab w:val="left" w:pos="1440"/>
              </w:tabs>
              <w:jc w:val="both"/>
              <w:rPr>
                <w:sz w:val="22"/>
                <w:szCs w:val="22"/>
                <w:lang w:val="en-GB"/>
              </w:rPr>
            </w:pPr>
          </w:p>
        </w:tc>
      </w:tr>
    </w:tbl>
    <w:p w14:paraId="788B1F21" w14:textId="77777777" w:rsidR="00EA79BF" w:rsidRPr="007A5C5F" w:rsidRDefault="00EA79BF" w:rsidP="00EA79BF">
      <w:pPr>
        <w:tabs>
          <w:tab w:val="left" w:pos="1440"/>
        </w:tabs>
        <w:jc w:val="both"/>
        <w:rPr>
          <w:b/>
          <w:bCs/>
          <w:sz w:val="22"/>
          <w:szCs w:val="22"/>
          <w:lang w:val="en-GB"/>
        </w:rPr>
      </w:pPr>
    </w:p>
    <w:p w14:paraId="0C363006" w14:textId="77777777" w:rsidR="00EA79BF" w:rsidRPr="00996BAA" w:rsidRDefault="00EA79BF" w:rsidP="00EA79BF">
      <w:pPr>
        <w:tabs>
          <w:tab w:val="left" w:pos="1440"/>
        </w:tabs>
        <w:jc w:val="both"/>
        <w:rPr>
          <w:b/>
          <w:bCs/>
          <w:color w:val="000000" w:themeColor="text1"/>
          <w:sz w:val="22"/>
          <w:szCs w:val="22"/>
          <w:lang w:val="en-GB"/>
        </w:rPr>
      </w:pPr>
      <w:r w:rsidRPr="00996BAA">
        <w:rPr>
          <w:b/>
          <w:bCs/>
          <w:color w:val="000000" w:themeColor="text1"/>
          <w:sz w:val="22"/>
          <w:szCs w:val="22"/>
          <w:lang w:val="en-GB"/>
        </w:rPr>
        <w:t>Community Mediation and Alternative Dispute Resolution</w:t>
      </w:r>
    </w:p>
    <w:p w14:paraId="15DD138D" w14:textId="77777777" w:rsidR="00EA79BF" w:rsidRPr="007A5C5F" w:rsidRDefault="00EA79BF" w:rsidP="00EA79BF">
      <w:pPr>
        <w:tabs>
          <w:tab w:val="left" w:pos="1440"/>
        </w:tabs>
        <w:jc w:val="both"/>
        <w:rPr>
          <w:sz w:val="22"/>
          <w:szCs w:val="22"/>
          <w:lang w:val="en-GB"/>
        </w:rPr>
      </w:pPr>
      <w:r w:rsidRPr="007A5C5F">
        <w:rPr>
          <w:sz w:val="22"/>
          <w:szCs w:val="22"/>
          <w:lang w:val="en-GB"/>
        </w:rPr>
        <w:t xml:space="preserve">It was reported that </w:t>
      </w:r>
      <w:r w:rsidRPr="00996BAA">
        <w:rPr>
          <w:sz w:val="22"/>
          <w:szCs w:val="22"/>
          <w:lang w:val="en-GB"/>
        </w:rPr>
        <w:t>Sri Lanka has a well-established community mediation system, with 329 Community Mediation Boards operating across the country and 8,400 trained mediators providing services. To address land disputes, special mediation boards are functioning in 16 districts with the support of 489 mediators. These mechanisms play a critical role in reducing court caseloads and providing accessible, community-based dispute resolution options for citizens</w:t>
      </w:r>
      <w:r w:rsidRPr="007A5C5F">
        <w:rPr>
          <w:sz w:val="22"/>
          <w:szCs w:val="22"/>
          <w:lang w:val="en-GB"/>
        </w:rPr>
        <w:t>.</w:t>
      </w:r>
      <w:r w:rsidRPr="007A5C5F">
        <w:rPr>
          <w:rStyle w:val="FootnoteReference"/>
          <w:sz w:val="22"/>
          <w:szCs w:val="22"/>
          <w:lang w:val="en-GB"/>
        </w:rPr>
        <w:footnoteReference w:id="26"/>
      </w:r>
      <w:r w:rsidRPr="007A5C5F">
        <w:rPr>
          <w:sz w:val="22"/>
          <w:szCs w:val="22"/>
          <w:lang w:val="en-GB"/>
        </w:rPr>
        <w:t>However, the same fact was mentioned in the 2009 development partners report</w:t>
      </w:r>
      <w:r>
        <w:rPr>
          <w:sz w:val="22"/>
          <w:szCs w:val="22"/>
          <w:lang w:val="en-GB"/>
        </w:rPr>
        <w:t>:</w:t>
      </w:r>
      <w:r w:rsidRPr="007A5C5F">
        <w:rPr>
          <w:sz w:val="22"/>
          <w:szCs w:val="22"/>
          <w:lang w:val="en-GB"/>
        </w:rPr>
        <w:t xml:space="preserve"> “</w:t>
      </w:r>
      <w:r w:rsidRPr="007A5C5F">
        <w:rPr>
          <w:b/>
          <w:bCs/>
          <w:sz w:val="22"/>
          <w:szCs w:val="22"/>
          <w:lang w:val="en-GB"/>
        </w:rPr>
        <w:t>329 Community Mediation Boards</w:t>
      </w:r>
      <w:r w:rsidRPr="007A5C5F">
        <w:rPr>
          <w:sz w:val="22"/>
          <w:szCs w:val="22"/>
          <w:lang w:val="en-GB"/>
        </w:rPr>
        <w:t xml:space="preserve"> operate island-wide, with </w:t>
      </w:r>
      <w:r w:rsidRPr="007A5C5F">
        <w:rPr>
          <w:b/>
          <w:bCs/>
          <w:sz w:val="22"/>
          <w:szCs w:val="22"/>
          <w:lang w:val="en-GB"/>
        </w:rPr>
        <w:t>8,400 trained mediators</w:t>
      </w:r>
      <w:r w:rsidRPr="007A5C5F">
        <w:rPr>
          <w:sz w:val="22"/>
          <w:szCs w:val="22"/>
          <w:lang w:val="en-GB"/>
        </w:rPr>
        <w:t>.</w:t>
      </w:r>
    </w:p>
    <w:p w14:paraId="5D43B2A1" w14:textId="77777777" w:rsidR="00EA79BF" w:rsidRPr="00996BAA" w:rsidRDefault="00EA79BF" w:rsidP="00EA79BF">
      <w:pPr>
        <w:tabs>
          <w:tab w:val="left" w:pos="1440"/>
        </w:tabs>
        <w:jc w:val="both"/>
        <w:rPr>
          <w:sz w:val="22"/>
          <w:szCs w:val="22"/>
          <w:lang w:val="en-GB"/>
        </w:rPr>
      </w:pPr>
      <w:r w:rsidRPr="00DA0A1E">
        <w:rPr>
          <w:sz w:val="22"/>
          <w:szCs w:val="22"/>
          <w:lang w:val="en-GB"/>
        </w:rPr>
        <w:t xml:space="preserve"> </w:t>
      </w:r>
      <w:r w:rsidRPr="00DA0A1E">
        <w:rPr>
          <w:b/>
          <w:bCs/>
          <w:sz w:val="22"/>
          <w:szCs w:val="22"/>
          <w:lang w:val="en-GB"/>
        </w:rPr>
        <w:t>Land dispute mediation</w:t>
      </w:r>
      <w:r w:rsidRPr="00DA0A1E">
        <w:rPr>
          <w:sz w:val="22"/>
          <w:szCs w:val="22"/>
          <w:lang w:val="en-GB"/>
        </w:rPr>
        <w:t xml:space="preserve"> was introduced in </w:t>
      </w:r>
      <w:r w:rsidRPr="00DA0A1E">
        <w:rPr>
          <w:b/>
          <w:bCs/>
          <w:sz w:val="22"/>
          <w:szCs w:val="22"/>
          <w:lang w:val="en-GB"/>
        </w:rPr>
        <w:t>16 districts</w:t>
      </w:r>
      <w:r w:rsidRPr="00DA0A1E">
        <w:rPr>
          <w:sz w:val="22"/>
          <w:szCs w:val="22"/>
          <w:lang w:val="en-GB"/>
        </w:rPr>
        <w:t xml:space="preserve"> with </w:t>
      </w:r>
      <w:r w:rsidRPr="00DA0A1E">
        <w:rPr>
          <w:b/>
          <w:bCs/>
          <w:sz w:val="22"/>
          <w:szCs w:val="22"/>
          <w:lang w:val="en-GB"/>
        </w:rPr>
        <w:t>489 mediators</w:t>
      </w:r>
      <w:r w:rsidRPr="007A5C5F">
        <w:rPr>
          <w:rStyle w:val="FootnoteReference"/>
          <w:b/>
          <w:bCs/>
          <w:sz w:val="22"/>
          <w:szCs w:val="22"/>
          <w:lang w:val="en-GB"/>
        </w:rPr>
        <w:footnoteReference w:id="27"/>
      </w:r>
      <w:r w:rsidRPr="007A5C5F">
        <w:rPr>
          <w:sz w:val="22"/>
          <w:szCs w:val="22"/>
          <w:lang w:val="en-GB"/>
        </w:rPr>
        <w:t>.</w:t>
      </w:r>
      <w:r>
        <w:rPr>
          <w:sz w:val="22"/>
          <w:szCs w:val="22"/>
          <w:lang w:val="en-GB"/>
        </w:rPr>
        <w:t xml:space="preserve"> </w:t>
      </w:r>
      <w:r w:rsidRPr="007A5C5F">
        <w:rPr>
          <w:sz w:val="22"/>
          <w:szCs w:val="22"/>
          <w:lang w:val="en-GB"/>
        </w:rPr>
        <w:t xml:space="preserve">While mediation is effective in reducing court caseloads, </w:t>
      </w:r>
      <w:r w:rsidRPr="007A5C5F">
        <w:rPr>
          <w:b/>
          <w:bCs/>
          <w:sz w:val="22"/>
          <w:szCs w:val="22"/>
          <w:lang w:val="en-GB"/>
        </w:rPr>
        <w:t>awareness and accessibility remain low in rural areas</w:t>
      </w:r>
      <w:r w:rsidRPr="007A5C5F">
        <w:rPr>
          <w:sz w:val="22"/>
          <w:szCs w:val="22"/>
          <w:lang w:val="en-GB"/>
        </w:rPr>
        <w:t>.”</w:t>
      </w:r>
    </w:p>
    <w:p w14:paraId="0928C35A" w14:textId="77777777" w:rsidR="00EA79BF" w:rsidRPr="007A5C5F" w:rsidRDefault="00EA79BF" w:rsidP="00EA79BF">
      <w:pPr>
        <w:tabs>
          <w:tab w:val="left" w:pos="1440"/>
        </w:tabs>
        <w:jc w:val="both"/>
        <w:rPr>
          <w:sz w:val="22"/>
          <w:szCs w:val="22"/>
          <w:lang w:val="en-GB"/>
        </w:rPr>
      </w:pPr>
    </w:p>
    <w:p w14:paraId="7BDB06A5" w14:textId="77777777" w:rsidR="00EA79BF" w:rsidRPr="007A5C5F" w:rsidRDefault="00EA79BF" w:rsidP="00EA79BF">
      <w:pPr>
        <w:tabs>
          <w:tab w:val="left" w:pos="1440"/>
        </w:tabs>
        <w:jc w:val="both"/>
        <w:rPr>
          <w:b/>
          <w:bCs/>
          <w:color w:val="000000" w:themeColor="text1"/>
          <w:sz w:val="22"/>
          <w:szCs w:val="22"/>
          <w:lang w:val="en-GB"/>
        </w:rPr>
      </w:pPr>
      <w:r w:rsidRPr="007A5C5F">
        <w:rPr>
          <w:b/>
          <w:bCs/>
          <w:color w:val="000000" w:themeColor="text1"/>
          <w:sz w:val="22"/>
          <w:szCs w:val="22"/>
          <w:lang w:val="en-GB"/>
        </w:rPr>
        <w:t>Digital Transformation of the Justice system.</w:t>
      </w:r>
    </w:p>
    <w:p w14:paraId="1C9AD590" w14:textId="77777777" w:rsidR="00EA79BF" w:rsidRPr="006D16FE" w:rsidRDefault="00EA79BF" w:rsidP="00EA79BF">
      <w:pPr>
        <w:tabs>
          <w:tab w:val="left" w:pos="1440"/>
        </w:tabs>
        <w:jc w:val="both"/>
        <w:rPr>
          <w:sz w:val="22"/>
          <w:szCs w:val="22"/>
          <w:lang w:val="en-GB"/>
        </w:rPr>
      </w:pPr>
      <w:r w:rsidRPr="006D16FE">
        <w:rPr>
          <w:sz w:val="22"/>
          <w:szCs w:val="22"/>
          <w:lang w:val="en-GB"/>
        </w:rPr>
        <w:t>The digitization of the Sri Lankan judiciary encompasses key advancements such as digitizing court records, e-filing of cases, virtual hearings, and live-streaming of court proceedings. While these initiatives gained momentum primarily during the COVID-19 pandemic, their implementation remains partial and uneven</w:t>
      </w:r>
      <w:r w:rsidRPr="007A5C5F">
        <w:rPr>
          <w:rStyle w:val="FootnoteReference"/>
          <w:sz w:val="22"/>
          <w:szCs w:val="22"/>
          <w:lang w:val="en-GB"/>
        </w:rPr>
        <w:footnoteReference w:id="28"/>
      </w:r>
      <w:r w:rsidRPr="006D16FE">
        <w:rPr>
          <w:sz w:val="22"/>
          <w:szCs w:val="22"/>
          <w:lang w:val="en-GB"/>
        </w:rPr>
        <w:t>. Despite progress in certain areas, significant gaps and challenges persist, requiring urgent attention and strategic intervention.</w:t>
      </w:r>
    </w:p>
    <w:p w14:paraId="7AFFC542" w14:textId="77777777" w:rsidR="00EA79BF" w:rsidRPr="006D16FE" w:rsidRDefault="00EA79BF" w:rsidP="00EA79BF">
      <w:pPr>
        <w:tabs>
          <w:tab w:val="left" w:pos="1440"/>
        </w:tabs>
        <w:jc w:val="both"/>
        <w:rPr>
          <w:sz w:val="22"/>
          <w:szCs w:val="22"/>
          <w:lang w:val="en-GB"/>
        </w:rPr>
      </w:pPr>
      <w:r w:rsidRPr="006D16FE">
        <w:rPr>
          <w:sz w:val="22"/>
          <w:szCs w:val="22"/>
          <w:lang w:val="en-GB"/>
        </w:rPr>
        <w:t>Beyond technical and infrastructural limitations, several socio-economic barriers hinder the full establishment of an e-judiciary in Sri Lanka</w:t>
      </w:r>
      <w:r w:rsidRPr="007A5C5F">
        <w:rPr>
          <w:rStyle w:val="FootnoteReference"/>
          <w:sz w:val="22"/>
          <w:szCs w:val="22"/>
          <w:lang w:val="en-GB"/>
        </w:rPr>
        <w:footnoteReference w:id="29"/>
      </w:r>
      <w:r w:rsidRPr="006D16FE">
        <w:rPr>
          <w:sz w:val="22"/>
          <w:szCs w:val="22"/>
          <w:lang w:val="en-GB"/>
        </w:rPr>
        <w:t>. These include low IT literacy rates, particularly among legal professionals and court users, language barriers that limit accessibility to digital platforms, and a lack of public trust in digital legal processes. Financial constraints further slowdown modernization efforts, while limited public awareness and resistance to change among legal practitioners and court administrators continue to obstruct full-scale implementation</w:t>
      </w:r>
      <w:r w:rsidRPr="007A5C5F">
        <w:rPr>
          <w:rStyle w:val="FootnoteReference"/>
          <w:sz w:val="22"/>
          <w:szCs w:val="22"/>
          <w:lang w:val="en-GB"/>
        </w:rPr>
        <w:footnoteReference w:id="30"/>
      </w:r>
      <w:r w:rsidRPr="006D16FE">
        <w:rPr>
          <w:sz w:val="22"/>
          <w:szCs w:val="22"/>
          <w:lang w:val="en-GB"/>
        </w:rPr>
        <w:t>. Addressing these challenges requires a comprehensive, well-funded strategy that prioritizes capacity building, public awareness, and institutional readiness to ensure an inclusive and effective transition to a digital judiciary.</w:t>
      </w:r>
    </w:p>
    <w:p w14:paraId="413F6DE9" w14:textId="77777777" w:rsidR="00EA79BF" w:rsidRPr="007A5C5F" w:rsidRDefault="00EA79BF" w:rsidP="00EA79BF">
      <w:pPr>
        <w:tabs>
          <w:tab w:val="left" w:pos="1440"/>
        </w:tabs>
        <w:jc w:val="both"/>
        <w:rPr>
          <w:lang w:val="en-GB"/>
        </w:rPr>
      </w:pPr>
    </w:p>
    <w:p w14:paraId="09D26824" w14:textId="63AA4C5D" w:rsidR="00F73416" w:rsidRPr="00F73416" w:rsidRDefault="00F73416" w:rsidP="00F73416">
      <w:pPr>
        <w:jc w:val="both"/>
        <w:rPr>
          <w:b/>
          <w:bCs/>
          <w:sz w:val="22"/>
          <w:szCs w:val="22"/>
        </w:rPr>
      </w:pPr>
      <w:r w:rsidRPr="00F73416">
        <w:rPr>
          <w:b/>
          <w:bCs/>
          <w:sz w:val="22"/>
          <w:szCs w:val="22"/>
        </w:rPr>
        <w:t>Child Justice System in Sri Lanka</w:t>
      </w:r>
    </w:p>
    <w:p w14:paraId="05F9BE23" w14:textId="028E2BF0" w:rsidR="00F73416" w:rsidRPr="00C900FD" w:rsidRDefault="00F73416" w:rsidP="00C900FD">
      <w:pPr>
        <w:tabs>
          <w:tab w:val="left" w:pos="1440"/>
        </w:tabs>
        <w:jc w:val="both"/>
        <w:rPr>
          <w:sz w:val="22"/>
          <w:szCs w:val="22"/>
          <w:lang w:val="en-GB"/>
        </w:rPr>
      </w:pPr>
      <w:r w:rsidRPr="00F73416">
        <w:rPr>
          <w:sz w:val="22"/>
          <w:szCs w:val="22"/>
        </w:rPr>
        <w:lastRenderedPageBreak/>
        <w:t>Sri Lanka has an estimated child population of 6.2 million and a total population of 22.2 million.</w:t>
      </w:r>
      <w:r>
        <w:rPr>
          <w:rStyle w:val="FootnoteReference"/>
          <w:sz w:val="22"/>
          <w:szCs w:val="22"/>
        </w:rPr>
        <w:footnoteReference w:id="31"/>
      </w:r>
      <w:r w:rsidRPr="00F73416">
        <w:rPr>
          <w:sz w:val="22"/>
          <w:szCs w:val="22"/>
        </w:rPr>
        <w:t>The JURE project was developed to address longstanding challenges within Sri Lanka’s justice system for children, informed by sector analyses conducted during the identification and formulation process of the Action Document.</w:t>
      </w:r>
      <w:r>
        <w:rPr>
          <w:sz w:val="22"/>
          <w:szCs w:val="22"/>
        </w:rPr>
        <w:t xml:space="preserve"> </w:t>
      </w:r>
      <w:r w:rsidRPr="00C900FD">
        <w:rPr>
          <w:sz w:val="22"/>
          <w:szCs w:val="22"/>
          <w:lang w:val="en-GB"/>
        </w:rPr>
        <w:t>At the time, children in conflict with the law, victims, and witnesses faced systemic challenges due to outdated laws, insufficient protections, and institutional inefficiencies.</w:t>
      </w:r>
      <w:r>
        <w:rPr>
          <w:sz w:val="22"/>
          <w:szCs w:val="22"/>
          <w:lang w:val="en-GB"/>
        </w:rPr>
        <w:t xml:space="preserve"> </w:t>
      </w:r>
      <w:r w:rsidRPr="00C900FD">
        <w:rPr>
          <w:sz w:val="22"/>
          <w:szCs w:val="22"/>
          <w:lang w:val="en-GB"/>
        </w:rPr>
        <w:t>Hundreds of children interacted with the justice system annually—some as victims or witnesses of crimes, others as alleged offenders. However, rather than being supported by a specialized, child-sensitive system, they were often subjected to the same legal procedures as adults, leaving them vulnerable to further harm</w:t>
      </w:r>
      <w:r>
        <w:rPr>
          <w:rStyle w:val="FootnoteReference"/>
          <w:sz w:val="22"/>
          <w:szCs w:val="22"/>
          <w:lang w:val="en-GB"/>
        </w:rPr>
        <w:footnoteReference w:id="32"/>
      </w:r>
      <w:r w:rsidRPr="00C900FD">
        <w:rPr>
          <w:sz w:val="22"/>
          <w:szCs w:val="22"/>
          <w:lang w:val="en-GB"/>
        </w:rPr>
        <w:t>.</w:t>
      </w:r>
      <w:r>
        <w:rPr>
          <w:sz w:val="22"/>
          <w:szCs w:val="22"/>
          <w:lang w:val="en-GB"/>
        </w:rPr>
        <w:t xml:space="preserve"> </w:t>
      </w:r>
      <w:r w:rsidRPr="00C900FD">
        <w:rPr>
          <w:sz w:val="22"/>
          <w:szCs w:val="22"/>
          <w:lang w:val="en-GB"/>
        </w:rPr>
        <w:t>The justice sector was chronically underfunded, leading to delays, inefficiencies, and limited access to basic services</w:t>
      </w:r>
      <w:r>
        <w:rPr>
          <w:rStyle w:val="FootnoteReference"/>
          <w:sz w:val="22"/>
          <w:szCs w:val="22"/>
          <w:lang w:val="en-GB"/>
        </w:rPr>
        <w:footnoteReference w:id="33"/>
      </w:r>
      <w:r w:rsidRPr="00C900FD">
        <w:rPr>
          <w:sz w:val="22"/>
          <w:szCs w:val="22"/>
          <w:lang w:val="en-GB"/>
        </w:rPr>
        <w:t>. As a result, Sri Lanka ranked 124 out of 197 countries in meeting international standards for children’s access to justice</w:t>
      </w:r>
      <w:r>
        <w:rPr>
          <w:rStyle w:val="FootnoteReference"/>
          <w:sz w:val="22"/>
          <w:szCs w:val="22"/>
          <w:lang w:val="en-GB"/>
        </w:rPr>
        <w:footnoteReference w:id="34"/>
      </w:r>
      <w:r>
        <w:rPr>
          <w:sz w:val="22"/>
          <w:szCs w:val="22"/>
          <w:lang w:val="en-GB"/>
        </w:rPr>
        <w:t>.</w:t>
      </w:r>
    </w:p>
    <w:p w14:paraId="4DFF32F2" w14:textId="5B15947F" w:rsidR="00F73416" w:rsidRPr="00C900FD" w:rsidRDefault="00F73416" w:rsidP="00C900FD">
      <w:pPr>
        <w:tabs>
          <w:tab w:val="left" w:pos="1440"/>
        </w:tabs>
        <w:jc w:val="both"/>
        <w:rPr>
          <w:sz w:val="22"/>
          <w:szCs w:val="22"/>
          <w:lang w:val="en-GB"/>
        </w:rPr>
      </w:pPr>
      <w:r w:rsidRPr="00C900FD">
        <w:rPr>
          <w:sz w:val="22"/>
          <w:szCs w:val="22"/>
          <w:lang w:val="en-GB"/>
        </w:rPr>
        <w:t>Sri Lanka’s child justice syste</w:t>
      </w:r>
      <w:r>
        <w:rPr>
          <w:sz w:val="22"/>
          <w:szCs w:val="22"/>
          <w:lang w:val="en-GB"/>
        </w:rPr>
        <w:t xml:space="preserve">m </w:t>
      </w:r>
      <w:r w:rsidRPr="00C900FD">
        <w:rPr>
          <w:sz w:val="22"/>
          <w:szCs w:val="22"/>
          <w:lang w:val="en-GB"/>
        </w:rPr>
        <w:t>governed by laws dating back to 1929, with elements of the Penal Code from the 1800s still in force. These outdated legal frameworks failed to provide the necessary protections for children, leaving judges, law enforcement, and social workers without clear guidance on how to handle cases involving children.</w:t>
      </w:r>
      <w:r>
        <w:rPr>
          <w:sz w:val="22"/>
          <w:szCs w:val="22"/>
          <w:lang w:val="en-GB"/>
        </w:rPr>
        <w:t xml:space="preserve"> </w:t>
      </w:r>
      <w:r w:rsidRPr="00C900FD">
        <w:rPr>
          <w:sz w:val="22"/>
          <w:szCs w:val="22"/>
          <w:lang w:val="en-GB"/>
        </w:rPr>
        <w:t>A major issue was the lack of child-sensitive procedures. Many lawyers, judges, and police officers lacked the training to communicate effectively with children, affecting investigations, legal representation, and advocacy efforts. Without age-appropriate justice mechanisms, children often experienced fear, confusion, and trauma while navigating the legal system.</w:t>
      </w:r>
      <w:r w:rsidR="00EC57B7">
        <w:rPr>
          <w:sz w:val="22"/>
          <w:szCs w:val="22"/>
          <w:lang w:val="en-GB"/>
        </w:rPr>
        <w:t xml:space="preserve"> </w:t>
      </w:r>
      <w:r w:rsidRPr="00C900FD">
        <w:rPr>
          <w:sz w:val="22"/>
          <w:szCs w:val="22"/>
          <w:lang w:val="en-GB"/>
        </w:rPr>
        <w:t>The urgency of reform became even clearer as official reports highlighted an alarming increase in child abuse cases. Reported cases of violence against children surged from 2,068 in 2004 to over 12,000 in 2015.</w:t>
      </w:r>
      <w:r>
        <w:rPr>
          <w:sz w:val="22"/>
          <w:szCs w:val="22"/>
          <w:lang w:val="en-GB"/>
        </w:rPr>
        <w:t xml:space="preserve"> </w:t>
      </w:r>
      <w:r w:rsidRPr="00C900FD">
        <w:rPr>
          <w:sz w:val="22"/>
          <w:szCs w:val="22"/>
          <w:lang w:val="en-GB"/>
        </w:rPr>
        <w:t>In 2012, 89% of reported rape and incest cases involved children under 16.</w:t>
      </w:r>
      <w:r>
        <w:rPr>
          <w:sz w:val="22"/>
          <w:szCs w:val="22"/>
          <w:lang w:val="en-GB"/>
        </w:rPr>
        <w:t xml:space="preserve"> </w:t>
      </w:r>
      <w:r w:rsidRPr="00C900FD">
        <w:rPr>
          <w:sz w:val="22"/>
          <w:szCs w:val="22"/>
          <w:lang w:val="en-GB"/>
        </w:rPr>
        <w:t>A 2009 study found that 14% of adolescent schoolgirls had been subjected to sexual abuse.</w:t>
      </w:r>
      <w:r>
        <w:rPr>
          <w:sz w:val="22"/>
          <w:szCs w:val="22"/>
          <w:lang w:val="en-GB"/>
        </w:rPr>
        <w:t xml:space="preserve"> </w:t>
      </w:r>
      <w:r w:rsidRPr="00C900FD">
        <w:rPr>
          <w:sz w:val="22"/>
          <w:szCs w:val="22"/>
          <w:lang w:val="en-GB"/>
        </w:rPr>
        <w:t>Despite these shocking statistics, the justice system’s response was extremely slow. By 2014, UNICEF estimated that over 4,000 child abuse cases were pending trial, leaving victims in legal limbo for years. In many cases, victims had reached adulthood before seeing their cases resolved, enduring repeated re-victimization every time they appeared in court.</w:t>
      </w:r>
    </w:p>
    <w:p w14:paraId="07D1D1A5" w14:textId="77777777" w:rsidR="00F73416" w:rsidRPr="00C900FD" w:rsidRDefault="00F73416" w:rsidP="00C900FD">
      <w:pPr>
        <w:tabs>
          <w:tab w:val="left" w:pos="1440"/>
        </w:tabs>
        <w:jc w:val="both"/>
        <w:rPr>
          <w:sz w:val="22"/>
          <w:szCs w:val="22"/>
          <w:lang w:val="en-GB"/>
        </w:rPr>
      </w:pPr>
    </w:p>
    <w:p w14:paraId="5C3FD184" w14:textId="77777777" w:rsidR="00F73416" w:rsidRDefault="00F73416" w:rsidP="00F73416">
      <w:pPr>
        <w:tabs>
          <w:tab w:val="left" w:pos="1440"/>
        </w:tabs>
        <w:jc w:val="both"/>
        <w:rPr>
          <w:sz w:val="22"/>
          <w:szCs w:val="22"/>
          <w:lang w:val="en-GB"/>
        </w:rPr>
      </w:pPr>
    </w:p>
    <w:p w14:paraId="51E916A9" w14:textId="77777777" w:rsidR="00F73416" w:rsidRDefault="00F73416" w:rsidP="00F73416">
      <w:pPr>
        <w:tabs>
          <w:tab w:val="left" w:pos="1440"/>
        </w:tabs>
        <w:jc w:val="both"/>
        <w:rPr>
          <w:sz w:val="22"/>
          <w:szCs w:val="22"/>
          <w:lang w:val="en-GB"/>
        </w:rPr>
      </w:pPr>
    </w:p>
    <w:p w14:paraId="3C043424" w14:textId="77777777" w:rsidR="00F73416" w:rsidRDefault="00F73416" w:rsidP="00F73416">
      <w:pPr>
        <w:tabs>
          <w:tab w:val="left" w:pos="1440"/>
        </w:tabs>
        <w:jc w:val="both"/>
        <w:rPr>
          <w:sz w:val="22"/>
          <w:szCs w:val="22"/>
          <w:lang w:val="en-GB"/>
        </w:rPr>
      </w:pPr>
    </w:p>
    <w:p w14:paraId="74D42456" w14:textId="77777777" w:rsidR="00EA79BF" w:rsidRPr="007A5C5F" w:rsidRDefault="00EA79BF" w:rsidP="00EA79BF">
      <w:pPr>
        <w:pStyle w:val="Heading1"/>
        <w:jc w:val="center"/>
        <w:rPr>
          <w:rFonts w:ascii="Times New Roman" w:hAnsi="Times New Roman" w:cs="Times New Roman"/>
          <w:lang w:val="en-GB"/>
        </w:rPr>
      </w:pPr>
      <w:bookmarkStart w:id="12" w:name="_Toc188348253"/>
      <w:r w:rsidRPr="007A5C5F">
        <w:rPr>
          <w:rFonts w:ascii="Times New Roman" w:hAnsi="Times New Roman" w:cs="Times New Roman"/>
          <w:lang w:val="en-GB"/>
        </w:rPr>
        <w:lastRenderedPageBreak/>
        <w:t>Evaluation scope and objectives.</w:t>
      </w:r>
      <w:bookmarkEnd w:id="12"/>
      <w:r w:rsidRPr="007A5C5F">
        <w:rPr>
          <w:rFonts w:ascii="Times New Roman" w:hAnsi="Times New Roman" w:cs="Times New Roman"/>
          <w:lang w:val="en-GB"/>
        </w:rPr>
        <w:t xml:space="preserve"> </w:t>
      </w:r>
    </w:p>
    <w:p w14:paraId="0982E59D" w14:textId="77777777" w:rsidR="00EA79BF" w:rsidRPr="007A5C5F" w:rsidRDefault="00EA79BF" w:rsidP="00EA79BF">
      <w:pPr>
        <w:pStyle w:val="Heading2"/>
        <w:rPr>
          <w:rFonts w:ascii="Times New Roman" w:eastAsia="Times New Roman" w:hAnsi="Times New Roman" w:cs="Times New Roman"/>
          <w:sz w:val="22"/>
          <w:szCs w:val="22"/>
          <w:lang w:val="en-GB"/>
        </w:rPr>
      </w:pPr>
      <w:bookmarkStart w:id="13" w:name="_Toc179992318"/>
      <w:bookmarkStart w:id="14" w:name="_Toc188348254"/>
      <w:r w:rsidRPr="007A5C5F">
        <w:rPr>
          <w:rFonts w:ascii="Times New Roman" w:eastAsia="Times New Roman" w:hAnsi="Times New Roman" w:cs="Times New Roman"/>
          <w:sz w:val="22"/>
          <w:szCs w:val="22"/>
          <w:lang w:val="en-GB"/>
        </w:rPr>
        <w:t>The purpose of the evaluation</w:t>
      </w:r>
      <w:bookmarkEnd w:id="13"/>
      <w:bookmarkEnd w:id="14"/>
    </w:p>
    <w:p w14:paraId="7DAF80F0" w14:textId="423050DE" w:rsidR="00EA79BF" w:rsidRPr="007A5C5F" w:rsidRDefault="00EA79BF" w:rsidP="00EA79BF">
      <w:pPr>
        <w:jc w:val="both"/>
        <w:rPr>
          <w:sz w:val="22"/>
          <w:szCs w:val="22"/>
          <w:lang w:val="en-GB"/>
        </w:rPr>
      </w:pPr>
      <w:r w:rsidRPr="007A5C5F">
        <w:rPr>
          <w:smallCaps/>
          <w:color w:val="E26717"/>
          <w:sz w:val="22"/>
          <w:szCs w:val="22"/>
          <w:lang w:val="en-GB"/>
        </w:rPr>
        <w:t>Objective:</w:t>
      </w:r>
      <w:r w:rsidRPr="007A5C5F">
        <w:rPr>
          <w:sz w:val="22"/>
          <w:szCs w:val="22"/>
          <w:lang w:val="en-GB"/>
        </w:rPr>
        <w:br/>
        <w:t>The mid-term evaluation (MTE) aims to provide an independent, comprehensive assessment of the JURE project’s progress and performance toward its stated objectives. Th</w:t>
      </w:r>
      <w:r w:rsidR="00F73416">
        <w:rPr>
          <w:sz w:val="22"/>
          <w:szCs w:val="22"/>
          <w:lang w:val="en-GB"/>
        </w:rPr>
        <w:t>e</w:t>
      </w:r>
      <w:r w:rsidRPr="007A5C5F">
        <w:rPr>
          <w:sz w:val="22"/>
          <w:szCs w:val="22"/>
          <w:lang w:val="en-GB"/>
        </w:rPr>
        <w:t xml:space="preserve"> evaluation examine</w:t>
      </w:r>
      <w:r w:rsidR="00F73416">
        <w:rPr>
          <w:sz w:val="22"/>
          <w:szCs w:val="22"/>
          <w:lang w:val="en-GB"/>
        </w:rPr>
        <w:t>d</w:t>
      </w:r>
      <w:r w:rsidRPr="007A5C5F">
        <w:rPr>
          <w:sz w:val="22"/>
          <w:szCs w:val="22"/>
          <w:lang w:val="en-GB"/>
        </w:rPr>
        <w:t xml:space="preserve"> the quality of the project’s outputs, measure</w:t>
      </w:r>
      <w:r w:rsidR="00F73416">
        <w:rPr>
          <w:sz w:val="22"/>
          <w:szCs w:val="22"/>
          <w:lang w:val="en-GB"/>
        </w:rPr>
        <w:t>d</w:t>
      </w:r>
      <w:r w:rsidRPr="007A5C5F">
        <w:rPr>
          <w:sz w:val="22"/>
          <w:szCs w:val="22"/>
          <w:lang w:val="en-GB"/>
        </w:rPr>
        <w:t xml:space="preserve"> </w:t>
      </w:r>
      <w:r w:rsidRPr="009D22EB">
        <w:rPr>
          <w:sz w:val="22"/>
          <w:szCs w:val="22"/>
          <w:lang w:val="en-GB"/>
        </w:rPr>
        <w:t>progress against intended and unintended results, and identif</w:t>
      </w:r>
      <w:r w:rsidR="00F73416" w:rsidRPr="009D22EB">
        <w:rPr>
          <w:sz w:val="22"/>
          <w:szCs w:val="22"/>
          <w:lang w:val="en-GB"/>
        </w:rPr>
        <w:t>ied</w:t>
      </w:r>
      <w:r w:rsidRPr="007A5C5F">
        <w:rPr>
          <w:sz w:val="22"/>
          <w:szCs w:val="22"/>
          <w:lang w:val="en-GB"/>
        </w:rPr>
        <w:t xml:space="preserve"> opportunities for enhancing its effectiveness and impact. It evaluate</w:t>
      </w:r>
      <w:r w:rsidR="00F73416">
        <w:rPr>
          <w:sz w:val="22"/>
          <w:szCs w:val="22"/>
          <w:lang w:val="en-GB"/>
        </w:rPr>
        <w:t>d</w:t>
      </w:r>
      <w:r w:rsidRPr="007A5C5F">
        <w:rPr>
          <w:sz w:val="22"/>
          <w:szCs w:val="22"/>
          <w:lang w:val="en-GB"/>
        </w:rPr>
        <w:t xml:space="preserve"> how project contribut</w:t>
      </w:r>
      <w:r w:rsidR="00F73416">
        <w:rPr>
          <w:sz w:val="22"/>
          <w:szCs w:val="22"/>
          <w:lang w:val="en-GB"/>
        </w:rPr>
        <w:t>ed</w:t>
      </w:r>
      <w:r w:rsidRPr="007A5C5F">
        <w:rPr>
          <w:sz w:val="22"/>
          <w:szCs w:val="22"/>
          <w:lang w:val="en-GB"/>
        </w:rPr>
        <w:t xml:space="preserve"> to broader justice sector reforms and aligned with international best practices, including gender mainstreaming and a rights-based approach.</w:t>
      </w:r>
    </w:p>
    <w:p w14:paraId="50F26D46" w14:textId="77777777" w:rsidR="00EA79BF" w:rsidRPr="007A5C5F" w:rsidRDefault="00EA79BF" w:rsidP="00EA79BF">
      <w:pPr>
        <w:jc w:val="both"/>
        <w:rPr>
          <w:sz w:val="22"/>
          <w:szCs w:val="22"/>
          <w:lang w:val="en-GB"/>
        </w:rPr>
      </w:pPr>
      <w:r w:rsidRPr="007A5C5F">
        <w:rPr>
          <w:smallCaps/>
          <w:color w:val="E26717"/>
          <w:sz w:val="22"/>
          <w:szCs w:val="22"/>
          <w:lang w:val="en-GB"/>
        </w:rPr>
        <w:t>Purpose:</w:t>
      </w:r>
      <w:r w:rsidRPr="007A5C5F">
        <w:rPr>
          <w:sz w:val="22"/>
          <w:szCs w:val="22"/>
          <w:lang w:val="en-GB"/>
        </w:rPr>
        <w:br/>
        <w:t>The purpose of the MTE was to evaluate the extent to which the JURE project is achieving its objectives, particularly in improving access to justice, accountability, and efficiency in Sri Lanka’s justice system. The evaluation provided actionable insights on how the project can be better aligned with national justice reform priorities and global standards. It also provides the strategic direction for the remainder of the project’s implementation, ensuring it remains responsive to the evolving socio-political context.</w:t>
      </w:r>
    </w:p>
    <w:p w14:paraId="7F56FA75" w14:textId="77777777" w:rsidR="00EA79BF" w:rsidRPr="007A5C5F" w:rsidRDefault="00EA79BF" w:rsidP="00EA79BF">
      <w:pPr>
        <w:jc w:val="both"/>
        <w:rPr>
          <w:sz w:val="22"/>
          <w:szCs w:val="22"/>
          <w:lang w:val="en-GB"/>
        </w:rPr>
      </w:pPr>
      <w:r w:rsidRPr="007A5C5F">
        <w:rPr>
          <w:smallCaps/>
          <w:color w:val="E26717"/>
          <w:sz w:val="22"/>
          <w:szCs w:val="22"/>
          <w:lang w:val="en-GB"/>
        </w:rPr>
        <w:t>Scope:</w:t>
      </w:r>
      <w:r w:rsidRPr="007A5C5F">
        <w:rPr>
          <w:sz w:val="22"/>
          <w:szCs w:val="22"/>
          <w:lang w:val="en-GB"/>
        </w:rPr>
        <w:br/>
        <w:t>The MTE assessed the project’s implementation from 1 January 2022 to 31 May 2024, focusing on the project’s activities across 10 selected districts in Sri Lanka. The evaluation was guided by six standard OECD DAC evaluation criteria—relevance, coherence, efficiency, effectiveness, sustainability, and impact—along with the EU-specific criterion of Added Value. It examined the incorporation of gender equality, human rights-based approaches, and inclusivity into the project design and execution. The evaluation involved close consultation with relevant stakeholders, including government bodies, UN agencies, and civil society organizations.</w:t>
      </w:r>
    </w:p>
    <w:p w14:paraId="46D34726" w14:textId="77777777" w:rsidR="00EA79BF" w:rsidRPr="007A5C5F" w:rsidRDefault="00EA79BF" w:rsidP="00EA79BF">
      <w:pPr>
        <w:jc w:val="both"/>
        <w:rPr>
          <w:sz w:val="22"/>
          <w:szCs w:val="22"/>
          <w:lang w:val="en-GB"/>
        </w:rPr>
      </w:pPr>
      <w:r w:rsidRPr="007A5C5F">
        <w:rPr>
          <w:sz w:val="22"/>
          <w:szCs w:val="22"/>
          <w:lang w:val="en-GB"/>
        </w:rPr>
        <w:t xml:space="preserve">The </w:t>
      </w:r>
      <w:r w:rsidRPr="007A5C5F">
        <w:rPr>
          <w:b/>
          <w:sz w:val="22"/>
          <w:szCs w:val="22"/>
          <w:lang w:val="en-GB"/>
        </w:rPr>
        <w:t>Mid-Term Evaluation (MTE)</w:t>
      </w:r>
      <w:r w:rsidRPr="007A5C5F">
        <w:rPr>
          <w:sz w:val="22"/>
          <w:szCs w:val="22"/>
          <w:lang w:val="en-GB"/>
        </w:rPr>
        <w:t xml:space="preserve"> of the JURE project is designed to:</w:t>
      </w:r>
    </w:p>
    <w:p w14:paraId="325D6555" w14:textId="77777777" w:rsidR="00EA79BF" w:rsidRPr="007A5C5F" w:rsidRDefault="00EA79BF" w:rsidP="00EA79BF">
      <w:pPr>
        <w:numPr>
          <w:ilvl w:val="0"/>
          <w:numId w:val="201"/>
        </w:numPr>
        <w:jc w:val="both"/>
        <w:rPr>
          <w:sz w:val="22"/>
          <w:szCs w:val="22"/>
          <w:lang w:val="en-GB"/>
        </w:rPr>
      </w:pPr>
      <w:r w:rsidRPr="007A5C5F">
        <w:rPr>
          <w:b/>
          <w:sz w:val="22"/>
          <w:szCs w:val="22"/>
          <w:lang w:val="en-GB"/>
        </w:rPr>
        <w:t>Assess Progress and Performance</w:t>
      </w:r>
      <w:r w:rsidRPr="007A5C5F">
        <w:rPr>
          <w:sz w:val="22"/>
          <w:szCs w:val="22"/>
          <w:lang w:val="en-GB"/>
        </w:rPr>
        <w:t>: Evaluate the project’s advancement toward its intended outcomes and outputs, focusing on its impact in improving access to justice, particularly for women, children, and vulnerable communities.</w:t>
      </w:r>
    </w:p>
    <w:p w14:paraId="44053044" w14:textId="77777777" w:rsidR="00EA79BF" w:rsidRPr="007A5C5F" w:rsidRDefault="00EA79BF" w:rsidP="00EA79BF">
      <w:pPr>
        <w:numPr>
          <w:ilvl w:val="0"/>
          <w:numId w:val="201"/>
        </w:numPr>
        <w:jc w:val="both"/>
        <w:rPr>
          <w:sz w:val="22"/>
          <w:szCs w:val="22"/>
          <w:lang w:val="en-GB"/>
        </w:rPr>
      </w:pPr>
      <w:r w:rsidRPr="007A5C5F">
        <w:rPr>
          <w:b/>
          <w:sz w:val="22"/>
          <w:szCs w:val="22"/>
          <w:lang w:val="en-GB"/>
        </w:rPr>
        <w:t>Analyse Relevance and Coherence</w:t>
      </w:r>
      <w:r w:rsidRPr="007A5C5F">
        <w:rPr>
          <w:sz w:val="22"/>
          <w:szCs w:val="22"/>
          <w:lang w:val="en-GB"/>
        </w:rPr>
        <w:t>: Determine the alignment of the JURE project with Sri Lanka’s national justice reform priorities, global development goals (such as SDGs 16, 5, and 10), and existing donor-funded initiatives. Assess the coherence of the project’s design and strategies with broader justice sector reforms.</w:t>
      </w:r>
    </w:p>
    <w:p w14:paraId="161977FF" w14:textId="77777777" w:rsidR="00EA79BF" w:rsidRPr="007A5C5F" w:rsidRDefault="00EA79BF" w:rsidP="00EA79BF">
      <w:pPr>
        <w:numPr>
          <w:ilvl w:val="0"/>
          <w:numId w:val="201"/>
        </w:numPr>
        <w:jc w:val="both"/>
        <w:rPr>
          <w:sz w:val="22"/>
          <w:szCs w:val="22"/>
          <w:lang w:val="en-GB"/>
        </w:rPr>
      </w:pPr>
      <w:r w:rsidRPr="007A5C5F">
        <w:rPr>
          <w:b/>
          <w:sz w:val="22"/>
          <w:szCs w:val="22"/>
          <w:lang w:val="en-GB"/>
        </w:rPr>
        <w:t>Evaluate Efficiency and Effectiveness</w:t>
      </w:r>
      <w:r w:rsidRPr="007A5C5F">
        <w:rPr>
          <w:sz w:val="22"/>
          <w:szCs w:val="22"/>
          <w:lang w:val="en-GB"/>
        </w:rPr>
        <w:t>: Assess the efficiency of resource use, financial management, and the cost-effectiveness of project activities. Examine how effectively the project is achieving its stated goals, particularly in enhancing accountability, transparency, and service delivery within the justice system.</w:t>
      </w:r>
    </w:p>
    <w:p w14:paraId="6A1D3C90" w14:textId="77777777" w:rsidR="00EA79BF" w:rsidRPr="007A5C5F" w:rsidRDefault="00EA79BF" w:rsidP="00EA79BF">
      <w:pPr>
        <w:numPr>
          <w:ilvl w:val="0"/>
          <w:numId w:val="201"/>
        </w:numPr>
        <w:jc w:val="both"/>
        <w:rPr>
          <w:sz w:val="22"/>
          <w:szCs w:val="22"/>
          <w:lang w:val="en-GB"/>
        </w:rPr>
      </w:pPr>
      <w:r w:rsidRPr="007A5C5F">
        <w:rPr>
          <w:b/>
          <w:sz w:val="22"/>
          <w:szCs w:val="22"/>
          <w:lang w:val="en-GB"/>
        </w:rPr>
        <w:t>Examine Sustainability and Impact</w:t>
      </w:r>
      <w:r w:rsidRPr="007A5C5F">
        <w:rPr>
          <w:sz w:val="22"/>
          <w:szCs w:val="22"/>
          <w:lang w:val="en-GB"/>
        </w:rPr>
        <w:t>: Analyse the long-term viability of the project’s outcomes, particularly the capacity of justice sector institutions to sustain the reforms initiated by the project. Assess early signs of impact, especially in terms of improving justice access for marginalized and vulnerable groups.</w:t>
      </w:r>
    </w:p>
    <w:p w14:paraId="7EA952B9" w14:textId="77777777" w:rsidR="00EA79BF" w:rsidRPr="007A5C5F" w:rsidRDefault="00EA79BF" w:rsidP="00EA79BF">
      <w:pPr>
        <w:numPr>
          <w:ilvl w:val="0"/>
          <w:numId w:val="201"/>
        </w:numPr>
        <w:jc w:val="both"/>
        <w:rPr>
          <w:sz w:val="22"/>
          <w:szCs w:val="22"/>
          <w:lang w:val="en-GB"/>
        </w:rPr>
      </w:pPr>
      <w:r w:rsidRPr="007A5C5F">
        <w:rPr>
          <w:b/>
          <w:sz w:val="22"/>
          <w:szCs w:val="22"/>
          <w:lang w:val="en-GB"/>
        </w:rPr>
        <w:t>Assess Gender and Inclusivity Integration</w:t>
      </w:r>
      <w:r w:rsidRPr="007A5C5F">
        <w:rPr>
          <w:sz w:val="22"/>
          <w:szCs w:val="22"/>
          <w:lang w:val="en-GB"/>
        </w:rPr>
        <w:t>: Evaluate the extent to which the project has effectively integrated gender equality and inclusivity, focusing on women’s empowerment, child protection, and the inclusion of marginalized groups. Review the implementation of the project’s Gender Action Plan and other cross-cutting inclusion strategies.</w:t>
      </w:r>
    </w:p>
    <w:p w14:paraId="40D7916C" w14:textId="77777777" w:rsidR="00EA79BF" w:rsidRPr="007A5C5F" w:rsidRDefault="00EA79BF" w:rsidP="00EA79BF">
      <w:pPr>
        <w:numPr>
          <w:ilvl w:val="0"/>
          <w:numId w:val="201"/>
        </w:numPr>
        <w:jc w:val="both"/>
        <w:rPr>
          <w:sz w:val="22"/>
          <w:szCs w:val="22"/>
          <w:lang w:val="en-GB"/>
        </w:rPr>
      </w:pPr>
      <w:r w:rsidRPr="007A5C5F">
        <w:rPr>
          <w:b/>
          <w:sz w:val="22"/>
          <w:szCs w:val="22"/>
          <w:lang w:val="en-GB"/>
        </w:rPr>
        <w:t>Provide Strategic Recommendations</w:t>
      </w:r>
      <w:r w:rsidRPr="007A5C5F">
        <w:rPr>
          <w:sz w:val="22"/>
          <w:szCs w:val="22"/>
          <w:lang w:val="en-GB"/>
        </w:rPr>
        <w:t>: Offer evidence-based recommendations for refining the project’s strategy, results framework, and implementation approach for the remainder of the project period. These recommendations will focus on enhancing the effectiveness, sustainability, and long-term impact of the project.</w:t>
      </w:r>
    </w:p>
    <w:p w14:paraId="28F2ACC9" w14:textId="77777777" w:rsidR="00EA79BF" w:rsidRPr="007A5C5F" w:rsidRDefault="00EA79BF" w:rsidP="00EA79BF">
      <w:pPr>
        <w:pStyle w:val="Heading2"/>
        <w:jc w:val="both"/>
        <w:rPr>
          <w:rFonts w:ascii="Times New Roman" w:eastAsia="Times New Roman" w:hAnsi="Times New Roman" w:cs="Times New Roman"/>
          <w:sz w:val="22"/>
          <w:szCs w:val="22"/>
          <w:lang w:val="en-GB"/>
        </w:rPr>
      </w:pPr>
      <w:bookmarkStart w:id="15" w:name="_Toc179992319"/>
      <w:bookmarkStart w:id="16" w:name="_Toc188348255"/>
      <w:r w:rsidRPr="007A5C5F">
        <w:rPr>
          <w:rFonts w:ascii="Times New Roman" w:eastAsia="Times New Roman" w:hAnsi="Times New Roman" w:cs="Times New Roman"/>
          <w:sz w:val="22"/>
          <w:szCs w:val="22"/>
          <w:lang w:val="en-GB"/>
        </w:rPr>
        <w:lastRenderedPageBreak/>
        <w:t>Evaluation criteria and questions.</w:t>
      </w:r>
      <w:bookmarkEnd w:id="15"/>
      <w:bookmarkEnd w:id="16"/>
      <w:r w:rsidRPr="007A5C5F">
        <w:rPr>
          <w:rFonts w:ascii="Times New Roman" w:eastAsia="Times New Roman" w:hAnsi="Times New Roman" w:cs="Times New Roman"/>
          <w:sz w:val="22"/>
          <w:szCs w:val="22"/>
          <w:lang w:val="en-GB"/>
        </w:rPr>
        <w:t xml:space="preserve"> </w:t>
      </w:r>
    </w:p>
    <w:p w14:paraId="00DB589D" w14:textId="7EF88ECA" w:rsidR="00EA79BF" w:rsidRPr="007A5C5F" w:rsidRDefault="00EA79BF" w:rsidP="00EA79BF">
      <w:pPr>
        <w:jc w:val="both"/>
        <w:rPr>
          <w:sz w:val="22"/>
          <w:szCs w:val="22"/>
          <w:lang w:val="en-GB"/>
        </w:rPr>
      </w:pPr>
      <w:r w:rsidRPr="007A5C5F">
        <w:rPr>
          <w:sz w:val="22"/>
          <w:szCs w:val="22"/>
          <w:lang w:val="en-GB"/>
        </w:rPr>
        <w:t xml:space="preserve">Based on the </w:t>
      </w:r>
      <w:r w:rsidRPr="007A5C5F">
        <w:rPr>
          <w:b/>
          <w:sz w:val="22"/>
          <w:szCs w:val="22"/>
          <w:lang w:val="en-GB"/>
        </w:rPr>
        <w:t>ToR</w:t>
      </w:r>
      <w:r w:rsidRPr="007A5C5F">
        <w:rPr>
          <w:sz w:val="22"/>
          <w:szCs w:val="22"/>
          <w:lang w:val="en-GB"/>
        </w:rPr>
        <w:t xml:space="preserve">, the evaluation was guided by several key criteria and 20 evaluation questions to assess the project’s performance. These criteria were based on the OECD Development Assistance Committee (DAC) standards, combined with specific EU, UNDP and UNICEF evaluation guidelines. </w:t>
      </w:r>
    </w:p>
    <w:p w14:paraId="79E33E59" w14:textId="77777777" w:rsidR="00EA79BF" w:rsidRPr="007A5C5F" w:rsidRDefault="00EA79BF" w:rsidP="00EA79BF">
      <w:pPr>
        <w:pStyle w:val="Heading3"/>
        <w:jc w:val="both"/>
        <w:rPr>
          <w:rFonts w:ascii="Times New Roman" w:eastAsia="Times New Roman" w:hAnsi="Times New Roman" w:cs="Times New Roman"/>
          <w:sz w:val="22"/>
          <w:szCs w:val="22"/>
          <w:lang w:val="en-GB"/>
        </w:rPr>
      </w:pPr>
      <w:r w:rsidRPr="007A5C5F">
        <w:rPr>
          <w:rFonts w:ascii="Times New Roman" w:eastAsia="Times New Roman" w:hAnsi="Times New Roman" w:cs="Times New Roman"/>
          <w:sz w:val="22"/>
          <w:szCs w:val="22"/>
          <w:lang w:val="en-GB"/>
        </w:rPr>
        <w:t>Relevance</w:t>
      </w:r>
    </w:p>
    <w:p w14:paraId="1DDBC8D5" w14:textId="77777777" w:rsidR="00EA79BF" w:rsidRPr="007A5C5F" w:rsidRDefault="00EA79BF" w:rsidP="00EA79BF">
      <w:pPr>
        <w:numPr>
          <w:ilvl w:val="1"/>
          <w:numId w:val="284"/>
        </w:numPr>
        <w:jc w:val="both"/>
        <w:rPr>
          <w:sz w:val="22"/>
          <w:szCs w:val="22"/>
          <w:lang w:val="en-GB"/>
        </w:rPr>
      </w:pPr>
      <w:r w:rsidRPr="007A5C5F">
        <w:rPr>
          <w:sz w:val="22"/>
          <w:szCs w:val="22"/>
          <w:lang w:val="en-GB"/>
        </w:rPr>
        <w:t>To what extent is the JURE Project aligned with national development priorities, UNDP and UNICEF country programmes, and the Sustainable Development Goals (SDGs)?</w:t>
      </w:r>
    </w:p>
    <w:p w14:paraId="13B452FF" w14:textId="77777777" w:rsidR="00EA79BF" w:rsidRPr="007A5C5F" w:rsidRDefault="00EA79BF" w:rsidP="00EA79BF">
      <w:pPr>
        <w:numPr>
          <w:ilvl w:val="1"/>
          <w:numId w:val="284"/>
        </w:numPr>
        <w:jc w:val="both"/>
        <w:rPr>
          <w:sz w:val="22"/>
          <w:szCs w:val="22"/>
          <w:lang w:val="en-GB"/>
        </w:rPr>
      </w:pPr>
      <w:r w:rsidRPr="007A5C5F">
        <w:rPr>
          <w:sz w:val="22"/>
          <w:szCs w:val="22"/>
          <w:lang w:val="en-GB"/>
        </w:rPr>
        <w:t>Has the project been responsive and adaptable to changing legal, political, social, and economic contexts in Sri Lanka?</w:t>
      </w:r>
    </w:p>
    <w:p w14:paraId="07E0BC49" w14:textId="77777777" w:rsidR="00EA79BF" w:rsidRDefault="00EA79BF" w:rsidP="00EA79BF">
      <w:pPr>
        <w:numPr>
          <w:ilvl w:val="1"/>
          <w:numId w:val="284"/>
        </w:numPr>
        <w:jc w:val="both"/>
        <w:rPr>
          <w:sz w:val="22"/>
          <w:szCs w:val="22"/>
          <w:lang w:val="en-GB"/>
        </w:rPr>
      </w:pPr>
      <w:r w:rsidRPr="007A5C5F">
        <w:rPr>
          <w:sz w:val="22"/>
          <w:szCs w:val="22"/>
          <w:lang w:val="en-GB"/>
        </w:rPr>
        <w:t>How effectively has the project addressed the needs of target beneficiaries, especially vulnerable populations, in enhancing access to justice and strengthening the rule of law?</w:t>
      </w:r>
    </w:p>
    <w:p w14:paraId="53A3E01C" w14:textId="77777777" w:rsidR="00EA79BF" w:rsidRPr="00DE11D6" w:rsidRDefault="00EA79BF" w:rsidP="00EA79BF">
      <w:pPr>
        <w:pStyle w:val="Heading3"/>
        <w:jc w:val="both"/>
        <w:rPr>
          <w:rFonts w:ascii="Times New Roman" w:eastAsia="Times New Roman" w:hAnsi="Times New Roman" w:cs="Times New Roman"/>
          <w:sz w:val="22"/>
          <w:szCs w:val="22"/>
          <w:lang w:val="en-GB"/>
        </w:rPr>
      </w:pPr>
      <w:r w:rsidRPr="00DE11D6">
        <w:rPr>
          <w:rFonts w:ascii="Times New Roman" w:eastAsia="Times New Roman" w:hAnsi="Times New Roman" w:cs="Times New Roman"/>
          <w:sz w:val="22"/>
          <w:szCs w:val="22"/>
          <w:lang w:val="en-GB"/>
        </w:rPr>
        <w:t>Coherence</w:t>
      </w:r>
    </w:p>
    <w:p w14:paraId="50D976BA" w14:textId="77777777" w:rsidR="00EA79BF" w:rsidRPr="007A5C5F" w:rsidRDefault="00EA79BF" w:rsidP="00EA79BF">
      <w:pPr>
        <w:numPr>
          <w:ilvl w:val="1"/>
          <w:numId w:val="284"/>
        </w:numPr>
        <w:jc w:val="both"/>
        <w:rPr>
          <w:sz w:val="22"/>
          <w:szCs w:val="22"/>
          <w:lang w:val="en-GB"/>
        </w:rPr>
      </w:pPr>
      <w:r w:rsidRPr="007A5C5F">
        <w:rPr>
          <w:sz w:val="22"/>
          <w:szCs w:val="22"/>
          <w:lang w:val="en-GB"/>
        </w:rPr>
        <w:t>How well does the JURE Project integrate with UNDP's SDG 16 portfolio and other justice sector interventions in Sri Lanka?</w:t>
      </w:r>
    </w:p>
    <w:p w14:paraId="41AC8E45" w14:textId="77777777" w:rsidR="00EA79BF" w:rsidRPr="007A5C5F" w:rsidRDefault="00EA79BF" w:rsidP="00EA79BF">
      <w:pPr>
        <w:numPr>
          <w:ilvl w:val="1"/>
          <w:numId w:val="284"/>
        </w:numPr>
        <w:jc w:val="both"/>
        <w:rPr>
          <w:sz w:val="22"/>
          <w:szCs w:val="22"/>
          <w:lang w:val="en-GB"/>
        </w:rPr>
      </w:pPr>
      <w:r w:rsidRPr="007A5C5F">
        <w:rPr>
          <w:sz w:val="22"/>
          <w:szCs w:val="22"/>
          <w:lang w:val="en-GB"/>
        </w:rPr>
        <w:t>To what extent does the project harmonize with efforts by other actors, including the government and donors, without duplicating resources?</w:t>
      </w:r>
    </w:p>
    <w:p w14:paraId="13DAB899" w14:textId="77777777" w:rsidR="00EA79BF" w:rsidRPr="00DE11D6" w:rsidRDefault="00EA79BF" w:rsidP="00EA79BF">
      <w:pPr>
        <w:pStyle w:val="Heading3"/>
        <w:jc w:val="both"/>
        <w:rPr>
          <w:rFonts w:ascii="Times New Roman" w:eastAsia="Times New Roman" w:hAnsi="Times New Roman" w:cs="Times New Roman"/>
          <w:sz w:val="22"/>
          <w:szCs w:val="22"/>
          <w:lang w:val="en-GB"/>
        </w:rPr>
      </w:pPr>
      <w:r w:rsidRPr="007A5C5F">
        <w:rPr>
          <w:rFonts w:ascii="Times New Roman" w:eastAsia="Times New Roman" w:hAnsi="Times New Roman" w:cs="Times New Roman"/>
          <w:sz w:val="22"/>
          <w:szCs w:val="22"/>
          <w:lang w:val="en-GB"/>
        </w:rPr>
        <w:t>Effectiveness</w:t>
      </w:r>
    </w:p>
    <w:p w14:paraId="48E87CA7" w14:textId="77777777" w:rsidR="00EA79BF" w:rsidRPr="007A5C5F" w:rsidRDefault="00EA79BF" w:rsidP="00EA79BF">
      <w:pPr>
        <w:numPr>
          <w:ilvl w:val="1"/>
          <w:numId w:val="284"/>
        </w:numPr>
        <w:jc w:val="both"/>
        <w:rPr>
          <w:sz w:val="22"/>
          <w:szCs w:val="22"/>
          <w:lang w:val="en-GB"/>
        </w:rPr>
      </w:pPr>
      <w:r w:rsidRPr="007A5C5F">
        <w:rPr>
          <w:sz w:val="22"/>
          <w:szCs w:val="22"/>
          <w:lang w:val="en-GB"/>
        </w:rPr>
        <w:t>How effective has the project been in achieving its planned outputs and outcomes, particularly those related to equal access to justice, accountability, and transparency?</w:t>
      </w:r>
    </w:p>
    <w:p w14:paraId="1A02FFEB" w14:textId="77777777" w:rsidR="00EA79BF" w:rsidRPr="007A5C5F" w:rsidRDefault="00EA79BF" w:rsidP="00EA79BF">
      <w:pPr>
        <w:numPr>
          <w:ilvl w:val="1"/>
          <w:numId w:val="284"/>
        </w:numPr>
        <w:jc w:val="both"/>
        <w:rPr>
          <w:sz w:val="22"/>
          <w:szCs w:val="22"/>
          <w:lang w:val="en-GB"/>
        </w:rPr>
      </w:pPr>
      <w:r w:rsidRPr="007A5C5F">
        <w:rPr>
          <w:sz w:val="22"/>
          <w:szCs w:val="22"/>
          <w:lang w:val="en-GB"/>
        </w:rPr>
        <w:t>How far has JURE contributed to the transformation of justice sector institutions in understanding and implementing essential reforms?</w:t>
      </w:r>
    </w:p>
    <w:p w14:paraId="00208768" w14:textId="77777777" w:rsidR="00EA79BF" w:rsidRPr="007A5C5F" w:rsidRDefault="00EA79BF" w:rsidP="00EA79BF">
      <w:pPr>
        <w:numPr>
          <w:ilvl w:val="1"/>
          <w:numId w:val="284"/>
        </w:numPr>
        <w:jc w:val="both"/>
        <w:rPr>
          <w:sz w:val="22"/>
          <w:szCs w:val="22"/>
          <w:lang w:val="en-GB"/>
        </w:rPr>
      </w:pPr>
      <w:r w:rsidRPr="007A5C5F">
        <w:rPr>
          <w:sz w:val="22"/>
          <w:szCs w:val="22"/>
          <w:lang w:val="en-GB"/>
        </w:rPr>
        <w:t>How effective are the governance and management structures of the project and coordination mechanism between the UNDP and UNICEF in delivering the expected results?</w:t>
      </w:r>
    </w:p>
    <w:p w14:paraId="7AF75A9F" w14:textId="77777777" w:rsidR="00EA79BF" w:rsidRPr="007A5C5F" w:rsidRDefault="00EA79BF" w:rsidP="00EA79BF">
      <w:pPr>
        <w:pStyle w:val="Heading3"/>
        <w:jc w:val="both"/>
        <w:rPr>
          <w:rFonts w:ascii="Times New Roman" w:eastAsia="Times New Roman" w:hAnsi="Times New Roman" w:cs="Times New Roman"/>
          <w:sz w:val="22"/>
          <w:szCs w:val="22"/>
          <w:lang w:val="en-GB"/>
        </w:rPr>
      </w:pPr>
      <w:r w:rsidRPr="007A5C5F">
        <w:rPr>
          <w:rFonts w:ascii="Times New Roman" w:eastAsia="Times New Roman" w:hAnsi="Times New Roman" w:cs="Times New Roman"/>
          <w:sz w:val="22"/>
          <w:szCs w:val="22"/>
          <w:lang w:val="en-GB"/>
        </w:rPr>
        <w:t>Efficiency</w:t>
      </w:r>
    </w:p>
    <w:p w14:paraId="7E5C8EA7" w14:textId="77777777" w:rsidR="00EA79BF" w:rsidRPr="007A5C5F" w:rsidRDefault="00EA79BF" w:rsidP="00EA79BF">
      <w:pPr>
        <w:numPr>
          <w:ilvl w:val="1"/>
          <w:numId w:val="284"/>
        </w:numPr>
        <w:jc w:val="both"/>
        <w:rPr>
          <w:sz w:val="22"/>
          <w:szCs w:val="22"/>
          <w:lang w:val="en-GB"/>
        </w:rPr>
      </w:pPr>
      <w:r w:rsidRPr="007A5C5F">
        <w:rPr>
          <w:sz w:val="22"/>
          <w:szCs w:val="22"/>
          <w:lang w:val="en-GB"/>
        </w:rPr>
        <w:t>How efficiently has the project utilized its resources, including financial management and value for money?</w:t>
      </w:r>
    </w:p>
    <w:p w14:paraId="3FD9A5DD" w14:textId="77777777" w:rsidR="00EA79BF" w:rsidRPr="007A5C5F" w:rsidRDefault="00EA79BF" w:rsidP="00EA79BF">
      <w:pPr>
        <w:numPr>
          <w:ilvl w:val="1"/>
          <w:numId w:val="284"/>
        </w:numPr>
        <w:jc w:val="both"/>
        <w:rPr>
          <w:sz w:val="22"/>
          <w:szCs w:val="22"/>
          <w:lang w:val="en-GB"/>
        </w:rPr>
      </w:pPr>
      <w:r w:rsidRPr="007A5C5F">
        <w:rPr>
          <w:sz w:val="22"/>
          <w:szCs w:val="22"/>
          <w:lang w:val="en-GB"/>
        </w:rPr>
        <w:t>Are the project’s mechanisms for tracking change, monitoring, and reporting well-designed to measure progress accurately?</w:t>
      </w:r>
    </w:p>
    <w:p w14:paraId="1BBCD93E" w14:textId="77777777" w:rsidR="00EA79BF" w:rsidRPr="007A5C5F" w:rsidRDefault="00EA79BF" w:rsidP="00EA79BF">
      <w:pPr>
        <w:numPr>
          <w:ilvl w:val="1"/>
          <w:numId w:val="284"/>
        </w:numPr>
        <w:jc w:val="both"/>
        <w:rPr>
          <w:sz w:val="22"/>
          <w:szCs w:val="22"/>
          <w:lang w:val="en-GB"/>
        </w:rPr>
      </w:pPr>
      <w:r w:rsidRPr="007A5C5F">
        <w:rPr>
          <w:sz w:val="22"/>
          <w:szCs w:val="22"/>
          <w:lang w:val="en-GB"/>
        </w:rPr>
        <w:t>How gender-responsive are the project’s indicators, and do they capture relevant data and changes?</w:t>
      </w:r>
    </w:p>
    <w:p w14:paraId="36E6DDB7" w14:textId="77777777" w:rsidR="00EA79BF" w:rsidRPr="007A5C5F" w:rsidRDefault="00EA79BF" w:rsidP="00EA79BF">
      <w:pPr>
        <w:pStyle w:val="Heading3"/>
        <w:jc w:val="both"/>
        <w:rPr>
          <w:rFonts w:ascii="Times New Roman" w:eastAsia="Times New Roman" w:hAnsi="Times New Roman" w:cs="Times New Roman"/>
          <w:sz w:val="22"/>
          <w:szCs w:val="22"/>
          <w:lang w:val="en-GB"/>
        </w:rPr>
      </w:pPr>
      <w:r>
        <w:rPr>
          <w:rFonts w:ascii="Times New Roman" w:eastAsia="Times New Roman" w:hAnsi="Times New Roman" w:cs="Times New Roman"/>
          <w:sz w:val="22"/>
          <w:szCs w:val="22"/>
          <w:lang w:val="en-GB"/>
        </w:rPr>
        <w:t>p</w:t>
      </w:r>
      <w:r w:rsidRPr="007A5C5F">
        <w:rPr>
          <w:rFonts w:ascii="Times New Roman" w:eastAsia="Times New Roman" w:hAnsi="Times New Roman" w:cs="Times New Roman"/>
          <w:sz w:val="22"/>
          <w:szCs w:val="22"/>
          <w:lang w:val="en-GB"/>
        </w:rPr>
        <w:t>rogress Towards Impact</w:t>
      </w:r>
    </w:p>
    <w:p w14:paraId="51D4862D" w14:textId="77777777" w:rsidR="00EA79BF" w:rsidRPr="007A5C5F" w:rsidRDefault="00EA79BF" w:rsidP="00EA79BF">
      <w:pPr>
        <w:numPr>
          <w:ilvl w:val="1"/>
          <w:numId w:val="284"/>
        </w:numPr>
        <w:jc w:val="both"/>
        <w:rPr>
          <w:sz w:val="22"/>
          <w:szCs w:val="22"/>
          <w:lang w:val="en-GB"/>
        </w:rPr>
      </w:pPr>
      <w:r w:rsidRPr="007A5C5F">
        <w:rPr>
          <w:sz w:val="22"/>
          <w:szCs w:val="22"/>
          <w:lang w:val="en-GB"/>
        </w:rPr>
        <w:t>Are there early signs that the project is achieving its intended impact, particularly in terms of improving access to justice for vulnerable populations?</w:t>
      </w:r>
    </w:p>
    <w:p w14:paraId="612C5E3D" w14:textId="77777777" w:rsidR="00EA79BF" w:rsidRPr="007A5C5F" w:rsidRDefault="00EA79BF" w:rsidP="00EA79BF">
      <w:pPr>
        <w:numPr>
          <w:ilvl w:val="1"/>
          <w:numId w:val="284"/>
        </w:numPr>
        <w:jc w:val="both"/>
        <w:rPr>
          <w:sz w:val="22"/>
          <w:szCs w:val="22"/>
          <w:lang w:val="en-GB"/>
        </w:rPr>
      </w:pPr>
      <w:r w:rsidRPr="007A5C5F">
        <w:rPr>
          <w:sz w:val="22"/>
          <w:szCs w:val="22"/>
          <w:lang w:val="en-GB"/>
        </w:rPr>
        <w:t>How do the output-level achievements contribute to the overall outcomes and goals of the project?</w:t>
      </w:r>
    </w:p>
    <w:p w14:paraId="7E282798" w14:textId="77777777" w:rsidR="00EA79BF" w:rsidRPr="007A5C5F" w:rsidRDefault="00EA79BF" w:rsidP="00EA79BF">
      <w:pPr>
        <w:pStyle w:val="Heading3"/>
        <w:jc w:val="both"/>
        <w:rPr>
          <w:rFonts w:ascii="Times New Roman" w:eastAsia="Times New Roman" w:hAnsi="Times New Roman" w:cs="Times New Roman"/>
          <w:sz w:val="22"/>
          <w:szCs w:val="22"/>
          <w:lang w:val="en-GB"/>
        </w:rPr>
      </w:pPr>
      <w:r w:rsidRPr="007A5C5F">
        <w:rPr>
          <w:rFonts w:ascii="Times New Roman" w:eastAsia="Times New Roman" w:hAnsi="Times New Roman" w:cs="Times New Roman"/>
          <w:sz w:val="22"/>
          <w:szCs w:val="22"/>
          <w:lang w:val="en-GB"/>
        </w:rPr>
        <w:t>Sustainability and National Ownership</w:t>
      </w:r>
    </w:p>
    <w:p w14:paraId="6583DF76" w14:textId="77777777" w:rsidR="00EA79BF" w:rsidRPr="007A5C5F" w:rsidRDefault="00EA79BF" w:rsidP="00EA79BF">
      <w:pPr>
        <w:numPr>
          <w:ilvl w:val="1"/>
          <w:numId w:val="284"/>
        </w:numPr>
        <w:jc w:val="both"/>
        <w:rPr>
          <w:sz w:val="22"/>
          <w:szCs w:val="22"/>
          <w:lang w:val="en-GB"/>
        </w:rPr>
      </w:pPr>
      <w:r w:rsidRPr="007A5C5F">
        <w:rPr>
          <w:sz w:val="22"/>
          <w:szCs w:val="22"/>
          <w:lang w:val="en-GB"/>
        </w:rPr>
        <w:t>To what extent have the capacities of individual and institutional stakeholders been strengthened to ensure that project outcomes are sustained?</w:t>
      </w:r>
    </w:p>
    <w:p w14:paraId="0F20ABC7" w14:textId="77777777" w:rsidR="00EA79BF" w:rsidRPr="007A5C5F" w:rsidRDefault="00EA79BF" w:rsidP="00EA79BF">
      <w:pPr>
        <w:numPr>
          <w:ilvl w:val="1"/>
          <w:numId w:val="284"/>
        </w:numPr>
        <w:jc w:val="both"/>
        <w:rPr>
          <w:sz w:val="22"/>
          <w:szCs w:val="22"/>
          <w:lang w:val="en-GB"/>
        </w:rPr>
      </w:pPr>
      <w:r w:rsidRPr="007A5C5F">
        <w:rPr>
          <w:sz w:val="22"/>
          <w:szCs w:val="22"/>
          <w:lang w:val="en-GB"/>
        </w:rPr>
        <w:t>What are the immediate and long-term risks that may undermine the sustainability of the project’s results?</w:t>
      </w:r>
    </w:p>
    <w:p w14:paraId="736AB912" w14:textId="77777777" w:rsidR="00EA79BF" w:rsidRPr="007A5C5F" w:rsidRDefault="00EA79BF" w:rsidP="00EA79BF">
      <w:pPr>
        <w:numPr>
          <w:ilvl w:val="1"/>
          <w:numId w:val="284"/>
        </w:numPr>
        <w:jc w:val="both"/>
        <w:rPr>
          <w:sz w:val="22"/>
          <w:szCs w:val="22"/>
          <w:lang w:val="en-GB"/>
        </w:rPr>
      </w:pPr>
      <w:r w:rsidRPr="007A5C5F">
        <w:rPr>
          <w:sz w:val="22"/>
          <w:szCs w:val="22"/>
          <w:lang w:val="en-GB"/>
        </w:rPr>
        <w:t>What strategies or partnerships need to be developed to ensure the long-term sustainability of the reforms introduced by the project?</w:t>
      </w:r>
    </w:p>
    <w:p w14:paraId="604AE830" w14:textId="77777777" w:rsidR="00EA79BF" w:rsidRPr="007A5C5F" w:rsidRDefault="00EA79BF" w:rsidP="00EA79BF">
      <w:pPr>
        <w:pStyle w:val="Heading3"/>
        <w:jc w:val="both"/>
        <w:rPr>
          <w:rFonts w:ascii="Times New Roman" w:eastAsia="Times New Roman" w:hAnsi="Times New Roman" w:cs="Times New Roman"/>
          <w:sz w:val="22"/>
          <w:szCs w:val="22"/>
          <w:lang w:val="en-GB"/>
        </w:rPr>
      </w:pPr>
      <w:r w:rsidRPr="007A5C5F">
        <w:rPr>
          <w:rFonts w:ascii="Times New Roman" w:eastAsia="Times New Roman" w:hAnsi="Times New Roman" w:cs="Times New Roman"/>
          <w:sz w:val="22"/>
          <w:szCs w:val="22"/>
          <w:lang w:val="en-GB"/>
        </w:rPr>
        <w:t>Gender Equality and Human Rights-Based Approach (HRBA)</w:t>
      </w:r>
    </w:p>
    <w:p w14:paraId="34BA74FF" w14:textId="77777777" w:rsidR="00EA79BF" w:rsidRPr="007A5C5F" w:rsidRDefault="00EA79BF" w:rsidP="00EA79BF">
      <w:pPr>
        <w:numPr>
          <w:ilvl w:val="1"/>
          <w:numId w:val="284"/>
        </w:numPr>
        <w:jc w:val="both"/>
        <w:rPr>
          <w:sz w:val="22"/>
          <w:szCs w:val="22"/>
          <w:lang w:val="en-GB"/>
        </w:rPr>
      </w:pPr>
      <w:r w:rsidRPr="007A5C5F">
        <w:rPr>
          <w:sz w:val="22"/>
          <w:szCs w:val="22"/>
          <w:lang w:val="en-GB"/>
        </w:rPr>
        <w:t xml:space="preserve">To what extent has the project integrated gender equality and human rights considerations into its design, implementation, and outcomes? </w:t>
      </w:r>
      <w:r w:rsidRPr="00DE11D6">
        <w:rPr>
          <w:sz w:val="22"/>
          <w:szCs w:val="22"/>
          <w:lang w:val="en-GB"/>
        </w:rPr>
        <w:t>How the project has addressed the identified challenges/risks related to gender equality and human rights</w:t>
      </w:r>
    </w:p>
    <w:p w14:paraId="70272244" w14:textId="77777777" w:rsidR="00EA79BF" w:rsidRPr="007A5C5F" w:rsidRDefault="00EA79BF" w:rsidP="00EA79BF">
      <w:pPr>
        <w:numPr>
          <w:ilvl w:val="1"/>
          <w:numId w:val="284"/>
        </w:numPr>
        <w:jc w:val="both"/>
        <w:rPr>
          <w:sz w:val="22"/>
          <w:szCs w:val="22"/>
          <w:lang w:val="en-GB"/>
        </w:rPr>
      </w:pPr>
      <w:r w:rsidRPr="007A5C5F">
        <w:rPr>
          <w:sz w:val="22"/>
          <w:szCs w:val="22"/>
          <w:lang w:val="en-GB"/>
        </w:rPr>
        <w:t>How effectively has the Gender Action Plan been implemented, and what progress has been made toward achieving gender-related results?</w:t>
      </w:r>
    </w:p>
    <w:p w14:paraId="285A7D6C" w14:textId="77777777" w:rsidR="00EA79BF" w:rsidRPr="007A5C5F" w:rsidRDefault="00EA79BF" w:rsidP="00EA79BF">
      <w:pPr>
        <w:numPr>
          <w:ilvl w:val="1"/>
          <w:numId w:val="284"/>
        </w:numPr>
        <w:jc w:val="both"/>
        <w:rPr>
          <w:sz w:val="22"/>
          <w:szCs w:val="22"/>
          <w:lang w:val="en-GB"/>
        </w:rPr>
      </w:pPr>
      <w:r w:rsidRPr="007A5C5F">
        <w:rPr>
          <w:sz w:val="22"/>
          <w:szCs w:val="22"/>
          <w:lang w:val="en-GB"/>
        </w:rPr>
        <w:t>What challenges or risks have emerged in implementing the project’s gender equality and human rights strategies?</w:t>
      </w:r>
    </w:p>
    <w:p w14:paraId="328A4F4F" w14:textId="77777777" w:rsidR="00EA79BF" w:rsidRPr="007A5C5F" w:rsidRDefault="00EA79BF" w:rsidP="00EA79BF">
      <w:pPr>
        <w:pStyle w:val="Heading3"/>
        <w:jc w:val="both"/>
        <w:rPr>
          <w:rFonts w:ascii="Times New Roman" w:eastAsia="Times New Roman" w:hAnsi="Times New Roman" w:cs="Times New Roman"/>
          <w:sz w:val="22"/>
          <w:szCs w:val="22"/>
          <w:lang w:val="en-GB"/>
        </w:rPr>
      </w:pPr>
      <w:r w:rsidRPr="007A5C5F">
        <w:rPr>
          <w:rFonts w:ascii="Times New Roman" w:eastAsia="Times New Roman" w:hAnsi="Times New Roman" w:cs="Times New Roman"/>
          <w:sz w:val="22"/>
          <w:szCs w:val="22"/>
          <w:lang w:val="en-GB"/>
        </w:rPr>
        <w:lastRenderedPageBreak/>
        <w:t>EU Added Value</w:t>
      </w:r>
    </w:p>
    <w:p w14:paraId="7F115094" w14:textId="77777777" w:rsidR="00EA79BF" w:rsidRPr="007A5C5F" w:rsidRDefault="00EA79BF" w:rsidP="00EA79BF">
      <w:pPr>
        <w:jc w:val="both"/>
        <w:rPr>
          <w:b/>
          <w:sz w:val="22"/>
          <w:szCs w:val="22"/>
          <w:lang w:val="en-GB"/>
        </w:rPr>
      </w:pPr>
    </w:p>
    <w:p w14:paraId="564D3786" w14:textId="77777777" w:rsidR="00EA79BF" w:rsidRDefault="00EA79BF" w:rsidP="00EA79BF">
      <w:pPr>
        <w:numPr>
          <w:ilvl w:val="1"/>
          <w:numId w:val="284"/>
        </w:numPr>
        <w:jc w:val="both"/>
        <w:rPr>
          <w:sz w:val="22"/>
          <w:szCs w:val="22"/>
          <w:lang w:val="en-GB"/>
        </w:rPr>
      </w:pPr>
      <w:r w:rsidRPr="007A5C5F">
        <w:rPr>
          <w:sz w:val="22"/>
          <w:szCs w:val="22"/>
          <w:lang w:val="en-GB"/>
        </w:rPr>
        <w:t>What specific outcomes or results has the JURE Project achieved due to EU support that would not have been possible through other donors?</w:t>
      </w:r>
    </w:p>
    <w:p w14:paraId="5C4A9DA0" w14:textId="16FCC249" w:rsidR="00F73416" w:rsidRPr="00BB5E24" w:rsidRDefault="00F73416" w:rsidP="00C900FD">
      <w:pPr>
        <w:pStyle w:val="NormalWeb"/>
        <w:jc w:val="both"/>
        <w:rPr>
          <w:sz w:val="22"/>
          <w:szCs w:val="22"/>
        </w:rPr>
      </w:pPr>
      <w:r w:rsidRPr="00C900FD">
        <w:rPr>
          <w:sz w:val="22"/>
          <w:szCs w:val="22"/>
        </w:rPr>
        <w:t xml:space="preserve">Based on the agreed evaluation questions, the evaluation team developed a detailed </w:t>
      </w:r>
      <w:r w:rsidRPr="00C900FD">
        <w:rPr>
          <w:rStyle w:val="Strong"/>
          <w:rFonts w:eastAsia="AppleGothic"/>
          <w:sz w:val="22"/>
          <w:szCs w:val="22"/>
        </w:rPr>
        <w:t>evaluation matrix</w:t>
      </w:r>
      <w:r w:rsidRPr="00C900FD">
        <w:rPr>
          <w:sz w:val="22"/>
          <w:szCs w:val="22"/>
        </w:rPr>
        <w:t xml:space="preserve">, which served as a structured framework for the assessment. The matrix included </w:t>
      </w:r>
      <w:r w:rsidRPr="00C900FD">
        <w:rPr>
          <w:rStyle w:val="Strong"/>
          <w:rFonts w:eastAsia="AppleGothic"/>
          <w:sz w:val="22"/>
          <w:szCs w:val="22"/>
        </w:rPr>
        <w:t>sub-questions</w:t>
      </w:r>
      <w:r w:rsidRPr="00C900FD">
        <w:rPr>
          <w:sz w:val="22"/>
          <w:szCs w:val="22"/>
        </w:rPr>
        <w:t xml:space="preserve">, </w:t>
      </w:r>
      <w:r w:rsidRPr="00C900FD">
        <w:rPr>
          <w:rStyle w:val="Strong"/>
          <w:rFonts w:eastAsia="AppleGothic"/>
          <w:sz w:val="22"/>
          <w:szCs w:val="22"/>
        </w:rPr>
        <w:t>judgment criteria</w:t>
      </w:r>
      <w:r w:rsidRPr="00C900FD">
        <w:rPr>
          <w:sz w:val="22"/>
          <w:szCs w:val="22"/>
        </w:rPr>
        <w:t xml:space="preserve">, </w:t>
      </w:r>
      <w:r w:rsidRPr="00C900FD">
        <w:rPr>
          <w:rStyle w:val="Strong"/>
          <w:rFonts w:eastAsia="AppleGothic"/>
          <w:sz w:val="22"/>
          <w:szCs w:val="22"/>
        </w:rPr>
        <w:t>indicators</w:t>
      </w:r>
      <w:r w:rsidRPr="00C900FD">
        <w:rPr>
          <w:sz w:val="22"/>
          <w:szCs w:val="22"/>
        </w:rPr>
        <w:t xml:space="preserve">, </w:t>
      </w:r>
      <w:r w:rsidRPr="00C900FD">
        <w:rPr>
          <w:rStyle w:val="Strong"/>
          <w:rFonts w:eastAsia="AppleGothic"/>
          <w:sz w:val="22"/>
          <w:szCs w:val="22"/>
        </w:rPr>
        <w:t>sources of verification</w:t>
      </w:r>
      <w:r w:rsidRPr="00C900FD">
        <w:rPr>
          <w:sz w:val="22"/>
          <w:szCs w:val="22"/>
        </w:rPr>
        <w:t xml:space="preserve">, and </w:t>
      </w:r>
      <w:r w:rsidRPr="00C900FD">
        <w:rPr>
          <w:rStyle w:val="Strong"/>
          <w:rFonts w:eastAsia="AppleGothic"/>
          <w:sz w:val="22"/>
          <w:szCs w:val="22"/>
        </w:rPr>
        <w:t>data collection methods</w:t>
      </w:r>
      <w:r w:rsidRPr="00C900FD">
        <w:rPr>
          <w:sz w:val="22"/>
          <w:szCs w:val="22"/>
        </w:rPr>
        <w:t>, ensuring a systematic and transparent evaluation process</w:t>
      </w:r>
      <w:r>
        <w:rPr>
          <w:sz w:val="22"/>
          <w:szCs w:val="22"/>
        </w:rPr>
        <w:t xml:space="preserve">. </w:t>
      </w:r>
      <w:r w:rsidRPr="00C900FD">
        <w:rPr>
          <w:sz w:val="22"/>
          <w:szCs w:val="22"/>
        </w:rPr>
        <w:t xml:space="preserve">The evaluation matrix was designed to break down each evaluation question into sub-questions, allowing for a more in-depth analysis of the JURE project’s relevance, effectiveness, efficiency, impact, and sustainability. </w:t>
      </w:r>
      <w:r w:rsidRPr="00C900FD">
        <w:rPr>
          <w:rStyle w:val="Strong"/>
          <w:rFonts w:eastAsia="AppleGothic"/>
          <w:sz w:val="22"/>
          <w:szCs w:val="22"/>
        </w:rPr>
        <w:t>Judgment criteria</w:t>
      </w:r>
      <w:r w:rsidRPr="00C900FD">
        <w:rPr>
          <w:sz w:val="22"/>
          <w:szCs w:val="22"/>
        </w:rPr>
        <w:t xml:space="preserve"> were established to define the benchmarks against which project performance was assessed, while </w:t>
      </w:r>
      <w:r w:rsidRPr="00C900FD">
        <w:rPr>
          <w:rStyle w:val="Strong"/>
          <w:rFonts w:eastAsia="AppleGothic"/>
          <w:sz w:val="22"/>
          <w:szCs w:val="22"/>
        </w:rPr>
        <w:t>indicators</w:t>
      </w:r>
      <w:r w:rsidRPr="00C900FD">
        <w:rPr>
          <w:sz w:val="22"/>
          <w:szCs w:val="22"/>
        </w:rPr>
        <w:t xml:space="preserve"> were selected to measure progress and achievements objectively</w:t>
      </w:r>
      <w:r>
        <w:rPr>
          <w:sz w:val="22"/>
          <w:szCs w:val="22"/>
        </w:rPr>
        <w:t xml:space="preserve">. </w:t>
      </w:r>
      <w:r w:rsidRPr="00C900FD">
        <w:rPr>
          <w:sz w:val="22"/>
          <w:szCs w:val="22"/>
        </w:rPr>
        <w:t xml:space="preserve">To ensure the reliability and credibility of the findings, the evaluation matrix also identified </w:t>
      </w:r>
      <w:r w:rsidRPr="00C900FD">
        <w:rPr>
          <w:rStyle w:val="Strong"/>
          <w:rFonts w:eastAsia="AppleGothic"/>
          <w:sz w:val="22"/>
          <w:szCs w:val="22"/>
        </w:rPr>
        <w:t>sources of verification</w:t>
      </w:r>
      <w:r w:rsidRPr="00C900FD">
        <w:rPr>
          <w:sz w:val="22"/>
          <w:szCs w:val="22"/>
        </w:rPr>
        <w:t xml:space="preserve">, specifying the documents, reports, stakeholder interviews, and quantitative data sources used for triangulation. A combination of qualitative and quantitative </w:t>
      </w:r>
      <w:r w:rsidRPr="00C900FD">
        <w:rPr>
          <w:rStyle w:val="Strong"/>
          <w:rFonts w:eastAsia="AppleGothic"/>
          <w:sz w:val="22"/>
          <w:szCs w:val="22"/>
        </w:rPr>
        <w:t>data collection methods</w:t>
      </w:r>
      <w:r w:rsidRPr="00C900FD">
        <w:rPr>
          <w:sz w:val="22"/>
          <w:szCs w:val="22"/>
        </w:rPr>
        <w:t>, including key informant interviews, focus group discussions, surveys, and document reviews, was outlined to gather comprehensive evidence.</w:t>
      </w:r>
      <w:r>
        <w:rPr>
          <w:sz w:val="22"/>
          <w:szCs w:val="22"/>
        </w:rPr>
        <w:t xml:space="preserve"> On 26 October, t</w:t>
      </w:r>
      <w:r w:rsidRPr="00C900FD">
        <w:rPr>
          <w:sz w:val="22"/>
          <w:szCs w:val="22"/>
        </w:rPr>
        <w:t xml:space="preserve">he evaluation matrix was formally </w:t>
      </w:r>
      <w:r w:rsidRPr="00C900FD">
        <w:rPr>
          <w:rStyle w:val="Strong"/>
          <w:rFonts w:eastAsia="AppleGothic"/>
          <w:sz w:val="22"/>
          <w:szCs w:val="22"/>
        </w:rPr>
        <w:t>endorsed as part of the Inception Report</w:t>
      </w:r>
      <w:r w:rsidRPr="00C900FD">
        <w:rPr>
          <w:sz w:val="22"/>
          <w:szCs w:val="22"/>
        </w:rPr>
        <w:t xml:space="preserve">, ensuring alignment with the agreed scope, methodology, and evaluation criteria. This endorsement confirmed that all stakeholders, including implementing partners and donors, </w:t>
      </w:r>
      <w:r w:rsidR="00EC57B7" w:rsidRPr="00EC57B7">
        <w:rPr>
          <w:sz w:val="22"/>
          <w:szCs w:val="22"/>
        </w:rPr>
        <w:t>agreed</w:t>
      </w:r>
      <w:r w:rsidRPr="00C900FD">
        <w:rPr>
          <w:sz w:val="22"/>
          <w:szCs w:val="22"/>
        </w:rPr>
        <w:t xml:space="preserve"> with the approach, enhancing the credibility and utility of the evaluation findings.</w:t>
      </w:r>
      <w:r>
        <w:rPr>
          <w:sz w:val="22"/>
          <w:szCs w:val="22"/>
        </w:rPr>
        <w:t xml:space="preserve"> The document is Annexed to the present report. </w:t>
      </w:r>
    </w:p>
    <w:p w14:paraId="279D99DE" w14:textId="77777777" w:rsidR="00EA79BF" w:rsidRPr="00A3584E" w:rsidRDefault="00EA79BF" w:rsidP="00EA79BF">
      <w:pPr>
        <w:pStyle w:val="Heading1"/>
        <w:jc w:val="center"/>
        <w:rPr>
          <w:rFonts w:ascii="Times New Roman" w:hAnsi="Times New Roman" w:cs="Times New Roman"/>
          <w:lang w:val="en-GB"/>
        </w:rPr>
      </w:pPr>
      <w:bookmarkStart w:id="17" w:name="_Toc188348256"/>
      <w:r w:rsidRPr="007A5C5F">
        <w:rPr>
          <w:rFonts w:ascii="Times New Roman" w:hAnsi="Times New Roman" w:cs="Times New Roman"/>
          <w:lang w:val="en-GB"/>
        </w:rPr>
        <w:lastRenderedPageBreak/>
        <w:t>Evaluation approach and methods.</w:t>
      </w:r>
      <w:bookmarkEnd w:id="17"/>
    </w:p>
    <w:p w14:paraId="6424A9E5" w14:textId="77777777" w:rsidR="00EA79BF" w:rsidRPr="00A3584E" w:rsidRDefault="00EA79BF" w:rsidP="00EA79BF">
      <w:pPr>
        <w:jc w:val="both"/>
        <w:rPr>
          <w:sz w:val="22"/>
          <w:szCs w:val="22"/>
          <w:lang w:val="en-GB"/>
        </w:rPr>
      </w:pPr>
      <w:r w:rsidRPr="00A3584E">
        <w:rPr>
          <w:sz w:val="22"/>
          <w:szCs w:val="22"/>
          <w:lang w:val="en-GB"/>
        </w:rPr>
        <w:t>The Mid-Term Evaluation (MTE) of the JURE project employed a mixed-methods approach, integrating qualitative and quantitative data collection and analysis to ensure a robust and evidence-based assessment of the project's performance against its intended outcomes. The methodology was framed within the OECD DAC evaluation criteria—relevance, coherence, effectiveness, efficiency, impact, and sustainability—while also incorporating a strong focus on gender equality, human rights-based approaches, and EU-added value.</w:t>
      </w:r>
    </w:p>
    <w:p w14:paraId="6D96A4A2" w14:textId="77777777" w:rsidR="00EA79BF" w:rsidRPr="007A5C5F" w:rsidRDefault="00EA79BF" w:rsidP="00EA79BF">
      <w:pPr>
        <w:jc w:val="both"/>
        <w:rPr>
          <w:sz w:val="22"/>
          <w:szCs w:val="22"/>
          <w:lang w:val="en-GB"/>
        </w:rPr>
      </w:pPr>
      <w:r w:rsidRPr="00A3584E">
        <w:rPr>
          <w:rFonts w:eastAsia="AppleGothic"/>
          <w:sz w:val="22"/>
          <w:szCs w:val="22"/>
          <w:lang w:val="en-GB"/>
        </w:rPr>
        <w:t xml:space="preserve">Evaluation </w:t>
      </w:r>
      <w:r w:rsidRPr="007A5C5F">
        <w:rPr>
          <w:rFonts w:eastAsia="AppleGothic"/>
          <w:sz w:val="22"/>
          <w:szCs w:val="22"/>
          <w:lang w:val="en-GB"/>
        </w:rPr>
        <w:t xml:space="preserve">Framework </w:t>
      </w:r>
      <w:r w:rsidRPr="007A5C5F">
        <w:rPr>
          <w:sz w:val="22"/>
          <w:szCs w:val="22"/>
          <w:lang w:val="en-GB"/>
        </w:rPr>
        <w:t>The</w:t>
      </w:r>
      <w:r w:rsidRPr="00A3584E">
        <w:rPr>
          <w:sz w:val="22"/>
          <w:szCs w:val="22"/>
          <w:lang w:val="en-GB"/>
        </w:rPr>
        <w:t xml:space="preserve"> evaluation was guided by the following key frameworks and principles:</w:t>
      </w:r>
    </w:p>
    <w:p w14:paraId="4736D103" w14:textId="77777777" w:rsidR="00EA79BF" w:rsidRPr="00A3584E" w:rsidRDefault="00EA79BF" w:rsidP="00EA79BF">
      <w:pPr>
        <w:jc w:val="both"/>
        <w:rPr>
          <w:sz w:val="22"/>
          <w:szCs w:val="22"/>
          <w:lang w:val="en-GB"/>
        </w:rPr>
      </w:pPr>
    </w:p>
    <w:p w14:paraId="1CFD4B2A" w14:textId="77777777" w:rsidR="00EA79BF" w:rsidRPr="007A5C5F" w:rsidRDefault="00EA79BF" w:rsidP="00EA79BF">
      <w:pPr>
        <w:pStyle w:val="ListParagraph"/>
        <w:numPr>
          <w:ilvl w:val="0"/>
          <w:numId w:val="280"/>
        </w:numPr>
        <w:jc w:val="both"/>
        <w:rPr>
          <w:sz w:val="22"/>
          <w:szCs w:val="22"/>
          <w:lang w:val="en-GB"/>
        </w:rPr>
      </w:pPr>
      <w:r w:rsidRPr="007A5C5F">
        <w:rPr>
          <w:rFonts w:eastAsia="AppleGothic"/>
          <w:sz w:val="22"/>
          <w:szCs w:val="22"/>
          <w:lang w:val="en-GB"/>
        </w:rPr>
        <w:t>OECD DAC Evaluation Criteria:</w:t>
      </w:r>
      <w:r w:rsidRPr="007A5C5F">
        <w:rPr>
          <w:sz w:val="22"/>
          <w:szCs w:val="22"/>
          <w:lang w:val="en-GB"/>
        </w:rPr>
        <w:t xml:space="preserve"> The assessment was based on relevance, coherence, effectiveness, efficiency, impact, and sustainability.</w:t>
      </w:r>
    </w:p>
    <w:p w14:paraId="3C395363" w14:textId="77777777" w:rsidR="00EA79BF" w:rsidRPr="007A5C5F" w:rsidRDefault="00EA79BF" w:rsidP="00EA79BF">
      <w:pPr>
        <w:pStyle w:val="ListParagraph"/>
        <w:numPr>
          <w:ilvl w:val="0"/>
          <w:numId w:val="280"/>
        </w:numPr>
        <w:jc w:val="both"/>
        <w:rPr>
          <w:sz w:val="22"/>
          <w:szCs w:val="22"/>
          <w:lang w:val="en-GB"/>
        </w:rPr>
      </w:pPr>
      <w:r w:rsidRPr="007A5C5F">
        <w:rPr>
          <w:rFonts w:eastAsia="AppleGothic"/>
          <w:sz w:val="22"/>
          <w:szCs w:val="22"/>
          <w:lang w:val="en-GB"/>
        </w:rPr>
        <w:t>UNEG Ethical Guidelines for Evaluation:</w:t>
      </w:r>
      <w:r w:rsidRPr="007A5C5F">
        <w:rPr>
          <w:sz w:val="22"/>
          <w:szCs w:val="22"/>
          <w:lang w:val="en-GB"/>
        </w:rPr>
        <w:t xml:space="preserve"> The evaluation adhered to UNEG’s ethical standards, ensuring cultural sensitivity, confidentiality, and respect for the rights of all participants.</w:t>
      </w:r>
    </w:p>
    <w:p w14:paraId="7E40E197" w14:textId="77777777" w:rsidR="00EA79BF" w:rsidRPr="007A5C5F" w:rsidRDefault="00EA79BF" w:rsidP="00EA79BF">
      <w:pPr>
        <w:pStyle w:val="ListParagraph"/>
        <w:numPr>
          <w:ilvl w:val="0"/>
          <w:numId w:val="280"/>
        </w:numPr>
        <w:jc w:val="both"/>
        <w:rPr>
          <w:sz w:val="22"/>
          <w:szCs w:val="22"/>
          <w:lang w:val="en-GB"/>
        </w:rPr>
      </w:pPr>
      <w:r w:rsidRPr="007A5C5F">
        <w:rPr>
          <w:rFonts w:eastAsia="AppleGothic"/>
          <w:sz w:val="22"/>
          <w:szCs w:val="22"/>
          <w:lang w:val="en-GB"/>
        </w:rPr>
        <w:t>Cross-Cutting Themes:</w:t>
      </w:r>
      <w:r w:rsidRPr="007A5C5F">
        <w:rPr>
          <w:sz w:val="22"/>
          <w:szCs w:val="22"/>
          <w:lang w:val="en-GB"/>
        </w:rPr>
        <w:t xml:space="preserve"> Gender mainstreaming, human rights-based approaches, inclusion of vulnerable groups, and disability considerations were integrated across all stages of the evaluation.</w:t>
      </w:r>
    </w:p>
    <w:p w14:paraId="1A1B5BE3" w14:textId="77777777" w:rsidR="00EA79BF" w:rsidRPr="00BC34A4" w:rsidRDefault="00EA79BF" w:rsidP="00EA79BF">
      <w:pPr>
        <w:pStyle w:val="Heading3"/>
        <w:jc w:val="both"/>
        <w:rPr>
          <w:rFonts w:ascii="Times New Roman" w:eastAsia="Times New Roman" w:hAnsi="Times New Roman" w:cs="Times New Roman"/>
          <w:sz w:val="22"/>
          <w:szCs w:val="22"/>
          <w:lang w:val="en-GB"/>
        </w:rPr>
      </w:pPr>
      <w:r w:rsidRPr="00BC34A4">
        <w:rPr>
          <w:rFonts w:ascii="Times New Roman" w:eastAsia="Times New Roman" w:hAnsi="Times New Roman" w:cs="Times New Roman"/>
          <w:sz w:val="22"/>
          <w:szCs w:val="22"/>
          <w:lang w:val="en-GB"/>
        </w:rPr>
        <w:t>Evaluability Analysis</w:t>
      </w:r>
    </w:p>
    <w:p w14:paraId="26A0DB06" w14:textId="77777777" w:rsidR="00EA79BF" w:rsidRPr="00BC34A4" w:rsidRDefault="00EA79BF" w:rsidP="00EA79BF">
      <w:pPr>
        <w:suppressAutoHyphens/>
        <w:autoSpaceDN w:val="0"/>
        <w:spacing w:after="160" w:line="256" w:lineRule="auto"/>
        <w:jc w:val="both"/>
        <w:rPr>
          <w:sz w:val="22"/>
          <w:szCs w:val="22"/>
          <w:lang w:val="en-GB"/>
        </w:rPr>
      </w:pPr>
      <w:r w:rsidRPr="00BC34A4">
        <w:rPr>
          <w:sz w:val="22"/>
          <w:szCs w:val="22"/>
          <w:lang w:val="en-GB"/>
        </w:rPr>
        <w:t xml:space="preserve">The evaluability assessment confirmed that the JURE project had the necessary foundations for conducting a comprehensive mid-term evaluation. The presence of clearly defined </w:t>
      </w:r>
      <w:r>
        <w:rPr>
          <w:sz w:val="22"/>
          <w:szCs w:val="22"/>
          <w:lang w:val="en-GB"/>
        </w:rPr>
        <w:t>output</w:t>
      </w:r>
      <w:r w:rsidRPr="00BC34A4">
        <w:rPr>
          <w:sz w:val="22"/>
          <w:szCs w:val="22"/>
          <w:lang w:val="en-GB"/>
        </w:rPr>
        <w:t xml:space="preserve"> indicators, combined with a well-articulated Theory of Change and results framework, ensured that the evaluation could proceed with confidence. However, certain challenges—such as gaps in baseline data </w:t>
      </w:r>
      <w:r w:rsidRPr="007A5C5F">
        <w:rPr>
          <w:sz w:val="22"/>
          <w:szCs w:val="22"/>
          <w:lang w:val="en-GB"/>
        </w:rPr>
        <w:t xml:space="preserve">and </w:t>
      </w:r>
      <w:r>
        <w:rPr>
          <w:sz w:val="22"/>
          <w:szCs w:val="22"/>
          <w:lang w:val="en-GB"/>
        </w:rPr>
        <w:t>targeting</w:t>
      </w:r>
      <w:r w:rsidRPr="007A5C5F">
        <w:rPr>
          <w:sz w:val="22"/>
          <w:szCs w:val="22"/>
          <w:lang w:val="en-GB"/>
        </w:rPr>
        <w:t xml:space="preserve"> </w:t>
      </w:r>
      <w:r w:rsidRPr="00BC34A4">
        <w:rPr>
          <w:sz w:val="22"/>
          <w:szCs w:val="22"/>
          <w:lang w:val="en-GB"/>
        </w:rPr>
        <w:t xml:space="preserve">the complexity of institutional reforms—necessitated a mixed-methods approach to comprehensively assess the project's achievements and challenges. </w:t>
      </w:r>
    </w:p>
    <w:p w14:paraId="03FF3A91" w14:textId="77777777" w:rsidR="00EA79BF" w:rsidRPr="00BC34A4" w:rsidRDefault="00EA79BF" w:rsidP="00EA79BF">
      <w:pPr>
        <w:suppressAutoHyphens/>
        <w:autoSpaceDN w:val="0"/>
        <w:spacing w:after="160" w:line="256" w:lineRule="auto"/>
        <w:jc w:val="both"/>
        <w:rPr>
          <w:sz w:val="22"/>
          <w:szCs w:val="22"/>
          <w:lang w:val="en-GB"/>
        </w:rPr>
      </w:pPr>
      <w:r w:rsidRPr="00BC34A4">
        <w:rPr>
          <w:sz w:val="22"/>
          <w:szCs w:val="22"/>
          <w:lang w:val="en-GB"/>
        </w:rPr>
        <w:t xml:space="preserve">In terms of formal evaluability, the project’s </w:t>
      </w:r>
      <w:r w:rsidRPr="007A5C5F">
        <w:rPr>
          <w:sz w:val="22"/>
          <w:szCs w:val="22"/>
          <w:lang w:val="en-GB"/>
        </w:rPr>
        <w:t>Logframe</w:t>
      </w:r>
      <w:r w:rsidRPr="00BC34A4">
        <w:rPr>
          <w:sz w:val="22"/>
          <w:szCs w:val="22"/>
          <w:lang w:val="en-GB"/>
        </w:rPr>
        <w:t xml:space="preserve"> outlined specific outputs and indicators that were </w:t>
      </w:r>
      <w:r w:rsidRPr="007A5C5F">
        <w:rPr>
          <w:sz w:val="22"/>
          <w:szCs w:val="22"/>
          <w:lang w:val="en-GB"/>
        </w:rPr>
        <w:t xml:space="preserve">somehow </w:t>
      </w:r>
      <w:r w:rsidRPr="00BC34A4">
        <w:rPr>
          <w:sz w:val="22"/>
          <w:szCs w:val="22"/>
          <w:lang w:val="en-GB"/>
        </w:rPr>
        <w:t xml:space="preserve">aligned with its objectives, including improving access to legal aid, training judiciary members, and enhancing transparency. While most indicators were quantifiable and provided a means of measuring progress, the assessment identified a need for greater emphasis on outcome-level indicators to track long-term effects. The availability of baseline data for most key indicators facilitated performance tracking; however, some indicators—particularly those related to institutional reforms and public perceptions—lacked comprehensive baseline data, </w:t>
      </w:r>
      <w:r w:rsidRPr="007A5C5F">
        <w:rPr>
          <w:sz w:val="22"/>
          <w:szCs w:val="22"/>
          <w:lang w:val="en-GB"/>
        </w:rPr>
        <w:t xml:space="preserve">that </w:t>
      </w:r>
      <w:r w:rsidRPr="00BC34A4">
        <w:rPr>
          <w:sz w:val="22"/>
          <w:szCs w:val="22"/>
          <w:lang w:val="en-GB"/>
        </w:rPr>
        <w:t>affect</w:t>
      </w:r>
      <w:r w:rsidRPr="007A5C5F">
        <w:rPr>
          <w:sz w:val="22"/>
          <w:szCs w:val="22"/>
          <w:lang w:val="en-GB"/>
        </w:rPr>
        <w:t>ed</w:t>
      </w:r>
      <w:r w:rsidRPr="00BC34A4">
        <w:rPr>
          <w:sz w:val="22"/>
          <w:szCs w:val="22"/>
          <w:lang w:val="en-GB"/>
        </w:rPr>
        <w:t xml:space="preserve"> the robustness of the evaluation. While a structured monitoring and evaluation (M&amp;E) system was in place to collect data regularly, opportunities for improvement were noted, especially in ensuring consistency and real-time availability of information across different project regions.</w:t>
      </w:r>
    </w:p>
    <w:p w14:paraId="717687CB" w14:textId="77777777" w:rsidR="00EA79BF" w:rsidRPr="00BC34A4" w:rsidRDefault="00EA79BF" w:rsidP="00EA79BF">
      <w:pPr>
        <w:suppressAutoHyphens/>
        <w:autoSpaceDN w:val="0"/>
        <w:spacing w:after="160" w:line="256" w:lineRule="auto"/>
        <w:jc w:val="both"/>
        <w:rPr>
          <w:sz w:val="22"/>
          <w:szCs w:val="22"/>
          <w:lang w:val="en-GB"/>
        </w:rPr>
      </w:pPr>
      <w:r w:rsidRPr="00BC34A4">
        <w:rPr>
          <w:sz w:val="22"/>
          <w:szCs w:val="22"/>
          <w:lang w:val="en-GB"/>
        </w:rPr>
        <w:t xml:space="preserve">Regarding substantive evaluability, the project’s problem identification was well-contextualized, addressing systemic challenges in Sri Lanka’s justice sector, including barriers to access for vulnerable populations, delays in legal processes, and a lack of institutional transparency and accountability. However, a critical limitation was the absence of explicitly stated assumptions underpinning the Theory of Change, as detailed in the project document. As a result, the evaluation team was unable to assess these assumptions for their continuing validity. Furthermore, the project’s Results Framework contained several gaps </w:t>
      </w:r>
      <w:r>
        <w:rPr>
          <w:sz w:val="22"/>
          <w:szCs w:val="22"/>
          <w:lang w:val="en-GB"/>
        </w:rPr>
        <w:t>that were</w:t>
      </w:r>
      <w:r w:rsidRPr="007A5C5F">
        <w:rPr>
          <w:sz w:val="22"/>
          <w:szCs w:val="22"/>
          <w:lang w:val="en-GB"/>
        </w:rPr>
        <w:t xml:space="preserve"> revised during the evaluation</w:t>
      </w:r>
      <w:r>
        <w:rPr>
          <w:sz w:val="22"/>
          <w:szCs w:val="22"/>
          <w:lang w:val="en-GB"/>
        </w:rPr>
        <w:t xml:space="preserve"> process</w:t>
      </w:r>
      <w:r w:rsidRPr="007A5C5F">
        <w:rPr>
          <w:sz w:val="22"/>
          <w:szCs w:val="22"/>
          <w:lang w:val="en-GB"/>
        </w:rPr>
        <w:t xml:space="preserve">, </w:t>
      </w:r>
      <w:r w:rsidRPr="00BC34A4">
        <w:rPr>
          <w:sz w:val="22"/>
          <w:szCs w:val="22"/>
          <w:lang w:val="en-GB"/>
        </w:rPr>
        <w:t>which posed additional challenges for the evaluation.</w:t>
      </w:r>
    </w:p>
    <w:p w14:paraId="6B445CA5" w14:textId="4119631A" w:rsidR="00EA79BF" w:rsidRPr="00BC34A4" w:rsidRDefault="00EA79BF" w:rsidP="00EA79BF">
      <w:pPr>
        <w:suppressAutoHyphens/>
        <w:autoSpaceDN w:val="0"/>
        <w:spacing w:after="160" w:line="256" w:lineRule="auto"/>
        <w:jc w:val="both"/>
        <w:rPr>
          <w:sz w:val="22"/>
          <w:szCs w:val="22"/>
          <w:lang w:val="en-GB"/>
        </w:rPr>
      </w:pPr>
      <w:r w:rsidRPr="00BC34A4">
        <w:rPr>
          <w:sz w:val="22"/>
          <w:szCs w:val="22"/>
          <w:lang w:val="en-GB"/>
        </w:rPr>
        <w:t xml:space="preserve">As part of the evaluability assessment, the evaluation team conducted an in-depth analysis of the project’s </w:t>
      </w:r>
      <w:r w:rsidRPr="007A5C5F">
        <w:rPr>
          <w:sz w:val="22"/>
          <w:szCs w:val="22"/>
          <w:lang w:val="en-GB"/>
        </w:rPr>
        <w:t xml:space="preserve">revised </w:t>
      </w:r>
      <w:r w:rsidRPr="00BC34A4">
        <w:rPr>
          <w:sz w:val="22"/>
          <w:szCs w:val="22"/>
          <w:lang w:val="en-GB"/>
        </w:rPr>
        <w:t xml:space="preserve">indicator framework, examining all outcome and output statements along with their respective quality ratings. This review was conducted through a gender lens as part of the evaluation’s Gender Review process. </w:t>
      </w:r>
      <w:r w:rsidRPr="009D22EB">
        <w:rPr>
          <w:sz w:val="22"/>
          <w:szCs w:val="22"/>
          <w:lang w:val="en-GB"/>
        </w:rPr>
        <w:t xml:space="preserve">The </w:t>
      </w:r>
      <w:r w:rsidRPr="009D22EB">
        <w:rPr>
          <w:b/>
          <w:bCs/>
          <w:sz w:val="22"/>
          <w:szCs w:val="22"/>
          <w:lang w:val="en-GB"/>
        </w:rPr>
        <w:t>findings indicated</w:t>
      </w:r>
      <w:r w:rsidRPr="009D22EB">
        <w:rPr>
          <w:sz w:val="22"/>
          <w:szCs w:val="22"/>
          <w:lang w:val="en-GB"/>
        </w:rPr>
        <w:t xml:space="preserve"> that </w:t>
      </w:r>
      <w:proofErr w:type="gramStart"/>
      <w:r w:rsidRPr="009D22EB">
        <w:rPr>
          <w:sz w:val="22"/>
          <w:szCs w:val="22"/>
          <w:lang w:val="en-GB"/>
        </w:rPr>
        <w:t>the majority of</w:t>
      </w:r>
      <w:proofErr w:type="gramEnd"/>
      <w:r w:rsidRPr="009D22EB">
        <w:rPr>
          <w:sz w:val="22"/>
          <w:szCs w:val="22"/>
          <w:lang w:val="en-GB"/>
        </w:rPr>
        <w:t xml:space="preserve"> the </w:t>
      </w:r>
      <w:r w:rsidRPr="009D22EB">
        <w:rPr>
          <w:b/>
          <w:bCs/>
          <w:sz w:val="22"/>
          <w:szCs w:val="22"/>
          <w:lang w:val="en-GB"/>
        </w:rPr>
        <w:t>outcome and output statements were weak, lacked a singular focus, had unclear timelines</w:t>
      </w:r>
      <w:r w:rsidRPr="009D22EB">
        <w:rPr>
          <w:sz w:val="22"/>
          <w:szCs w:val="22"/>
          <w:lang w:val="en-GB"/>
        </w:rPr>
        <w:t xml:space="preserve">, and </w:t>
      </w:r>
      <w:r w:rsidRPr="009D22EB">
        <w:rPr>
          <w:b/>
          <w:bCs/>
          <w:sz w:val="22"/>
          <w:szCs w:val="22"/>
          <w:lang w:val="en-GB"/>
        </w:rPr>
        <w:t>did not incorporate change language</w:t>
      </w:r>
      <w:r w:rsidRPr="009D22EB">
        <w:rPr>
          <w:sz w:val="22"/>
          <w:szCs w:val="22"/>
          <w:lang w:val="en-GB"/>
        </w:rPr>
        <w:t>. Similar weaknesses were found in the output statements.</w:t>
      </w:r>
      <w:r w:rsidRPr="00BC34A4">
        <w:rPr>
          <w:sz w:val="22"/>
          <w:szCs w:val="22"/>
          <w:lang w:val="en-GB"/>
        </w:rPr>
        <w:t xml:space="preserve"> </w:t>
      </w:r>
    </w:p>
    <w:p w14:paraId="38A32758" w14:textId="77777777" w:rsidR="00EA79BF" w:rsidRDefault="00EA79BF" w:rsidP="00EA79BF">
      <w:pPr>
        <w:suppressAutoHyphens/>
        <w:autoSpaceDN w:val="0"/>
        <w:spacing w:after="160" w:line="256" w:lineRule="auto"/>
        <w:jc w:val="both"/>
        <w:rPr>
          <w:sz w:val="22"/>
          <w:szCs w:val="22"/>
          <w:lang w:val="en-GB"/>
        </w:rPr>
      </w:pPr>
      <w:r w:rsidRPr="00BC34A4">
        <w:rPr>
          <w:sz w:val="22"/>
          <w:szCs w:val="22"/>
          <w:lang w:val="en-GB"/>
        </w:rPr>
        <w:t xml:space="preserve">To address these challenges, the evaluation team adopted a two-pronged approach. First, they sought to collect as much relevant data as possible throughout the evaluation process to inform the Results Framework. Second, they engaged in discussions with all relevant stakeholders to better understand the data challenges and explore </w:t>
      </w:r>
      <w:r w:rsidRPr="00BC34A4">
        <w:rPr>
          <w:sz w:val="22"/>
          <w:szCs w:val="22"/>
          <w:lang w:val="en-GB"/>
        </w:rPr>
        <w:lastRenderedPageBreak/>
        <w:t>potential solutions. These efforts aimed to enhance the credibility and utility of the evaluation findings while providing recommendations to strengthen the project's M&amp;E systems.</w:t>
      </w:r>
    </w:p>
    <w:p w14:paraId="501F5581" w14:textId="4C0F1535" w:rsidR="00BB5E24" w:rsidRDefault="00BB5E24" w:rsidP="00EA79BF">
      <w:pPr>
        <w:suppressAutoHyphens/>
        <w:autoSpaceDN w:val="0"/>
        <w:spacing w:after="160" w:line="256" w:lineRule="auto"/>
        <w:jc w:val="both"/>
        <w:rPr>
          <w:sz w:val="22"/>
          <w:szCs w:val="22"/>
          <w:lang w:val="en-GB"/>
        </w:rPr>
      </w:pPr>
      <w:r w:rsidRPr="00BB5E24">
        <w:rPr>
          <w:sz w:val="22"/>
          <w:szCs w:val="22"/>
        </w:rPr>
        <w:t>The evaluation of the project followed a linear, sequential methodology, structured around three main phases. Each phase was completed before progressing to the next, ensuring a systematic and structured approach to data collection, analysis, and reporting.</w:t>
      </w:r>
    </w:p>
    <w:p w14:paraId="63ECC3A8" w14:textId="4204BCF2" w:rsidR="00BB5E24" w:rsidRPr="009D22EB" w:rsidRDefault="00BB5E24" w:rsidP="00EA79BF">
      <w:pPr>
        <w:suppressAutoHyphens/>
        <w:autoSpaceDN w:val="0"/>
        <w:spacing w:after="160" w:line="256" w:lineRule="auto"/>
        <w:jc w:val="both"/>
        <w:rPr>
          <w:b/>
          <w:bCs/>
          <w:color w:val="ED7D31" w:themeColor="accent2"/>
        </w:rPr>
      </w:pPr>
      <w:r w:rsidRPr="009D22EB">
        <w:rPr>
          <w:b/>
          <w:bCs/>
          <w:color w:val="ED7D31" w:themeColor="accent2"/>
        </w:rPr>
        <w:t xml:space="preserve">Phase 1 – Inception </w:t>
      </w:r>
      <w:r w:rsidR="00923F31" w:rsidRPr="009D22EB">
        <w:rPr>
          <w:b/>
          <w:bCs/>
          <w:color w:val="ED7D31" w:themeColor="accent2"/>
        </w:rPr>
        <w:t>Phase and</w:t>
      </w:r>
      <w:r w:rsidR="00EC302A" w:rsidRPr="009D22EB">
        <w:rPr>
          <w:b/>
          <w:bCs/>
          <w:color w:val="ED7D31" w:themeColor="accent2"/>
        </w:rPr>
        <w:t xml:space="preserve"> Desk Analysis: </w:t>
      </w:r>
      <w:r w:rsidRPr="009D22EB">
        <w:rPr>
          <w:b/>
          <w:bCs/>
          <w:color w:val="ED7D31" w:themeColor="accent2"/>
        </w:rPr>
        <w:t xml:space="preserve"> Desk research, document review and Inception Report of 100+ documents</w:t>
      </w:r>
    </w:p>
    <w:p w14:paraId="3C8D0F8B" w14:textId="05FBA8A7" w:rsidR="00BB5E24" w:rsidRPr="007A5C5F" w:rsidRDefault="00BB5E24" w:rsidP="00BB5E24">
      <w:pPr>
        <w:jc w:val="both"/>
        <w:rPr>
          <w:sz w:val="22"/>
          <w:szCs w:val="22"/>
          <w:lang w:val="en-GB"/>
        </w:rPr>
      </w:pPr>
      <w:r w:rsidRPr="007A5C5F">
        <w:rPr>
          <w:rFonts w:eastAsia="DengXian Light"/>
          <w:b/>
          <w:bCs/>
          <w:sz w:val="22"/>
          <w:szCs w:val="22"/>
          <w:lang w:val="en-GB"/>
        </w:rPr>
        <w:t>Data collection procedures and instruments</w:t>
      </w:r>
      <w:r w:rsidRPr="007A5C5F">
        <w:rPr>
          <w:b/>
          <w:bCs/>
          <w:sz w:val="22"/>
          <w:szCs w:val="22"/>
          <w:lang w:val="en-GB"/>
        </w:rPr>
        <w:t>:</w:t>
      </w:r>
      <w:r w:rsidRPr="007A5C5F">
        <w:rPr>
          <w:sz w:val="22"/>
          <w:szCs w:val="22"/>
          <w:lang w:val="en-GB"/>
        </w:rPr>
        <w:t xml:space="preserve"> The evaluation was conducted in line with international best practices and standards, including the OECD DAC ethical considerations for development evaluations and the UNEG Ethical Guidelines and Code of Conduct. At the outset, the evaluation team signed the UNEG Pledge of Ethical Conduct (Annex </w:t>
      </w:r>
      <w:r>
        <w:rPr>
          <w:sz w:val="22"/>
          <w:szCs w:val="22"/>
          <w:lang w:val="en-GB"/>
        </w:rPr>
        <w:t>VII</w:t>
      </w:r>
      <w:r w:rsidRPr="007A5C5F">
        <w:rPr>
          <w:sz w:val="22"/>
          <w:szCs w:val="22"/>
          <w:lang w:val="en-GB"/>
        </w:rPr>
        <w:t xml:space="preserve">). Stakeholder information was treated with strict confidentiality and in full compliance with UNDP’s Rules on Personal Data Protection. The evaluation adhered to ethical and legal principles, ensuring the </w:t>
      </w:r>
      <w:r>
        <w:rPr>
          <w:sz w:val="22"/>
          <w:szCs w:val="22"/>
          <w:lang w:val="en-GB"/>
        </w:rPr>
        <w:t>well-being</w:t>
      </w:r>
      <w:r w:rsidRPr="007A5C5F">
        <w:rPr>
          <w:sz w:val="22"/>
          <w:szCs w:val="22"/>
          <w:lang w:val="en-GB"/>
        </w:rPr>
        <w:t xml:space="preserve"> of all individuals involved. Measures were taken to minimize risks to participants in accordance with professional standards and the ‘do no harm’ principle. A structured informed consent protocol was followed, requiring explicit participant consent before any data collection meetings or interviews (Annex VI). To uphold ethical and methodological </w:t>
      </w:r>
      <w:r>
        <w:rPr>
          <w:sz w:val="22"/>
          <w:szCs w:val="22"/>
          <w:lang w:val="en-GB"/>
        </w:rPr>
        <w:t>rigour</w:t>
      </w:r>
      <w:r w:rsidRPr="007A5C5F">
        <w:rPr>
          <w:sz w:val="22"/>
          <w:szCs w:val="22"/>
          <w:lang w:val="en-GB"/>
        </w:rPr>
        <w:t>, all data collectors received a pre-data collection briefing from UNICEF.</w:t>
      </w:r>
    </w:p>
    <w:p w14:paraId="0A9A1354" w14:textId="77777777" w:rsidR="00BB5E24" w:rsidRPr="007A5C5F" w:rsidRDefault="00BB5E24" w:rsidP="00BB5E24">
      <w:pPr>
        <w:jc w:val="both"/>
        <w:rPr>
          <w:sz w:val="22"/>
          <w:szCs w:val="22"/>
          <w:lang w:val="en-GB"/>
        </w:rPr>
      </w:pPr>
    </w:p>
    <w:p w14:paraId="53E42A19" w14:textId="77777777" w:rsidR="00BB5E24" w:rsidRPr="007A5C5F" w:rsidRDefault="00BB5E24" w:rsidP="00BB5E24">
      <w:pPr>
        <w:jc w:val="both"/>
        <w:rPr>
          <w:sz w:val="22"/>
          <w:szCs w:val="22"/>
          <w:lang w:val="en-GB"/>
        </w:rPr>
      </w:pPr>
      <w:r w:rsidRPr="007A5C5F">
        <w:rPr>
          <w:rFonts w:eastAsia="DengXian Light"/>
          <w:b/>
          <w:bCs/>
          <w:sz w:val="22"/>
          <w:szCs w:val="22"/>
          <w:lang w:val="en-GB"/>
        </w:rPr>
        <w:t>Performance standards:</w:t>
      </w:r>
      <w:r w:rsidRPr="007A5C5F">
        <w:rPr>
          <w:rFonts w:eastAsia="DengXian Light"/>
          <w:sz w:val="22"/>
          <w:szCs w:val="22"/>
          <w:lang w:val="en-GB"/>
        </w:rPr>
        <w:t xml:space="preserve"> </w:t>
      </w:r>
      <w:r w:rsidRPr="007A5C5F">
        <w:rPr>
          <w:sz w:val="22"/>
          <w:szCs w:val="22"/>
          <w:lang w:val="en-GB"/>
        </w:rPr>
        <w:t>The evaluation used national and regional indicators, rating scales, and OECD DAC evaluation criteria to assess performance relative to the evaluation questions. Key benchmarks included Sri Lanka’s justice sector indicators, progress against UN Sustainable Development Goals (SDGs) (particularly SDG 16, SDG 5, and SDG 10), and alignment with international best practices in legal and judicial reforms.</w:t>
      </w:r>
    </w:p>
    <w:p w14:paraId="732FDDD7" w14:textId="77777777" w:rsidR="00BB5E24" w:rsidRPr="007A5C5F" w:rsidRDefault="00BB5E24" w:rsidP="00BB5E24">
      <w:pPr>
        <w:jc w:val="both"/>
        <w:rPr>
          <w:sz w:val="22"/>
          <w:szCs w:val="22"/>
          <w:lang w:val="en-GB"/>
        </w:rPr>
      </w:pPr>
    </w:p>
    <w:p w14:paraId="0E5E7C5E" w14:textId="77777777" w:rsidR="00BB5E24" w:rsidRDefault="00BB5E24" w:rsidP="00BB5E24">
      <w:pPr>
        <w:jc w:val="both"/>
        <w:rPr>
          <w:sz w:val="22"/>
          <w:szCs w:val="22"/>
          <w:lang w:val="en-GB"/>
        </w:rPr>
      </w:pPr>
      <w:r w:rsidRPr="007A5C5F">
        <w:rPr>
          <w:sz w:val="22"/>
          <w:szCs w:val="22"/>
          <w:lang w:val="en-GB"/>
        </w:rPr>
        <w:t>Quantitative performance was measured through statistical data, survey results, and documented outputs, while qualitative assessment relied on stakeholder feedback, case studies, and thematic analysis generated by JURE and available online. The evaluation also incorporated comparative analysis, examining the JURE project’s achievements against past similar projects in Sri Lanka. This included an assessment of prior justice sector reform initiatives, legal aid programs, and capacity-building efforts to determine how the JURE project built on or diverged from previous interventions. By comparing efficiency, effectiveness, and impact, the evaluation identified best practices, gaps, and opportunities for improvement.</w:t>
      </w:r>
    </w:p>
    <w:p w14:paraId="4C755A9E" w14:textId="77777777" w:rsidR="00BB5E24" w:rsidRPr="007A5C5F" w:rsidRDefault="00BB5E24" w:rsidP="00BB5E24">
      <w:pPr>
        <w:jc w:val="both"/>
        <w:rPr>
          <w:sz w:val="22"/>
          <w:szCs w:val="22"/>
          <w:lang w:val="en-GB"/>
        </w:rPr>
      </w:pPr>
    </w:p>
    <w:p w14:paraId="6629291E" w14:textId="77777777" w:rsidR="00EA79BF" w:rsidRPr="007A5C5F" w:rsidRDefault="00EA79BF" w:rsidP="00EA79BF">
      <w:pPr>
        <w:jc w:val="both"/>
        <w:rPr>
          <w:sz w:val="22"/>
          <w:szCs w:val="22"/>
          <w:lang w:val="en-GB"/>
        </w:rPr>
      </w:pPr>
      <w:r w:rsidRPr="007A5C5F">
        <w:rPr>
          <w:b/>
          <w:bCs/>
          <w:sz w:val="22"/>
          <w:szCs w:val="22"/>
          <w:lang w:val="en-GB"/>
        </w:rPr>
        <w:t>Data sources:</w:t>
      </w:r>
      <w:r w:rsidRPr="007A5C5F">
        <w:rPr>
          <w:sz w:val="22"/>
          <w:szCs w:val="22"/>
          <w:lang w:val="en-GB"/>
        </w:rPr>
        <w:t xml:space="preserve"> The evaluation team collected and analysed data from a wide range of sources, integrating both primary and secondary information from relevant stakeholders through a mixed-methods approach that combined qualitative and quantitative methodologies. Data collection methods included Key Informant Interviews (KIIs), Focus Group Discussions (FGDs), and a comprehensive Literature Review, utilizing the approved Participatory Rural Appraisal (PRA) tools to ensure a robust and inclusive evaluation process.</w:t>
      </w:r>
    </w:p>
    <w:p w14:paraId="541B4F0C" w14:textId="77777777" w:rsidR="00EA79BF" w:rsidRDefault="00EA79BF" w:rsidP="00EA79BF">
      <w:pPr>
        <w:jc w:val="both"/>
        <w:rPr>
          <w:sz w:val="22"/>
          <w:szCs w:val="22"/>
          <w:lang w:val="en-GB"/>
        </w:rPr>
      </w:pPr>
      <w:r w:rsidRPr="007A5C5F">
        <w:rPr>
          <w:sz w:val="22"/>
          <w:szCs w:val="22"/>
          <w:lang w:val="en-GB"/>
        </w:rPr>
        <w:t xml:space="preserve">The data collection phase commenced on 28 October and continued until 8 November 2024 before temporarily pausing due to the elections. It resumed </w:t>
      </w:r>
      <w:r>
        <w:rPr>
          <w:sz w:val="22"/>
          <w:szCs w:val="22"/>
          <w:lang w:val="en-GB"/>
        </w:rPr>
        <w:t>afterwards</w:t>
      </w:r>
      <w:r w:rsidRPr="007A5C5F">
        <w:rPr>
          <w:sz w:val="22"/>
          <w:szCs w:val="22"/>
          <w:lang w:val="en-GB"/>
        </w:rPr>
        <w:t xml:space="preserve"> and concluded at the end of November 2024. The process covered a broad geographic scope across Sri Lanka, including key locations such as Colombo, Galle, Matara, Jaffna, Batticaloa, Anuradhapura, Ratnapura, Kurunegala, Hatton, and Nuwara Eliya. This extensive coverage ensured a diverse and representative dataset, capturing insights from both urban and regional stakeholders.</w:t>
      </w:r>
    </w:p>
    <w:p w14:paraId="740A035E" w14:textId="77777777" w:rsidR="00BB5E24" w:rsidRDefault="00BB5E24" w:rsidP="00EA79BF">
      <w:pPr>
        <w:jc w:val="both"/>
        <w:rPr>
          <w:sz w:val="22"/>
          <w:szCs w:val="22"/>
          <w:lang w:val="en-GB"/>
        </w:rPr>
      </w:pPr>
    </w:p>
    <w:p w14:paraId="777ED0DB" w14:textId="607F28B6" w:rsidR="00BB5E24" w:rsidRDefault="00BB5E24" w:rsidP="00EA79BF">
      <w:pPr>
        <w:jc w:val="both"/>
        <w:rPr>
          <w:sz w:val="22"/>
          <w:szCs w:val="22"/>
          <w:lang w:val="en-GB"/>
        </w:rPr>
      </w:pPr>
      <w:r w:rsidRPr="007A5C5F">
        <w:rPr>
          <w:noProof/>
          <w:lang w:val="en-GB"/>
        </w:rPr>
        <w:lastRenderedPageBreak/>
        <w:drawing>
          <wp:inline distT="0" distB="0" distL="0" distR="0" wp14:anchorId="0949CB2D" wp14:editId="6F0436E4">
            <wp:extent cx="5531161" cy="3017520"/>
            <wp:effectExtent l="0" t="0" r="6350" b="5080"/>
            <wp:docPr id="3083528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352887" name="Picture 308352887"/>
                    <pic:cNvPicPr/>
                  </pic:nvPicPr>
                  <pic:blipFill rotWithShape="1">
                    <a:blip r:embed="rId26"/>
                    <a:srcRect l="4095" t="5603" r="5040" b="6215"/>
                    <a:stretch/>
                  </pic:blipFill>
                  <pic:spPr bwMode="auto">
                    <a:xfrm>
                      <a:off x="0" y="0"/>
                      <a:ext cx="5533313" cy="3018694"/>
                    </a:xfrm>
                    <a:prstGeom prst="rect">
                      <a:avLst/>
                    </a:prstGeom>
                    <a:ln>
                      <a:noFill/>
                    </a:ln>
                    <a:extLst>
                      <a:ext uri="{53640926-AAD7-44D8-BBD7-CCE9431645EC}">
                        <a14:shadowObscured xmlns:a14="http://schemas.microsoft.com/office/drawing/2010/main"/>
                      </a:ext>
                    </a:extLst>
                  </pic:spPr>
                </pic:pic>
              </a:graphicData>
            </a:graphic>
          </wp:inline>
        </w:drawing>
      </w:r>
    </w:p>
    <w:p w14:paraId="2936B236" w14:textId="77777777" w:rsidR="00BB5E24" w:rsidRPr="007A5C5F" w:rsidRDefault="00BB5E24" w:rsidP="00EA79BF">
      <w:pPr>
        <w:jc w:val="both"/>
        <w:rPr>
          <w:sz w:val="22"/>
          <w:szCs w:val="22"/>
          <w:lang w:val="en-GB"/>
        </w:rPr>
      </w:pPr>
    </w:p>
    <w:p w14:paraId="36B44F75" w14:textId="77777777" w:rsidR="00EA79BF" w:rsidRDefault="00EA79BF" w:rsidP="00EA79BF">
      <w:pPr>
        <w:jc w:val="both"/>
        <w:rPr>
          <w:sz w:val="22"/>
          <w:szCs w:val="22"/>
          <w:lang w:val="en-GB"/>
        </w:rPr>
      </w:pPr>
    </w:p>
    <w:p w14:paraId="555D51DF" w14:textId="68F22193" w:rsidR="00BB5E24" w:rsidRPr="00C900FD" w:rsidRDefault="00BB5E24" w:rsidP="00BB5E24">
      <w:pPr>
        <w:suppressAutoHyphens/>
        <w:autoSpaceDN w:val="0"/>
        <w:spacing w:after="160" w:line="256" w:lineRule="auto"/>
        <w:jc w:val="both"/>
        <w:rPr>
          <w:b/>
          <w:bCs/>
          <w:color w:val="ED7D31" w:themeColor="accent2"/>
        </w:rPr>
      </w:pPr>
      <w:r w:rsidRPr="00C900FD">
        <w:rPr>
          <w:b/>
          <w:bCs/>
          <w:color w:val="ED7D31" w:themeColor="accent2"/>
        </w:rPr>
        <w:t xml:space="preserve">Phase 2 –Field Phase:  </w:t>
      </w:r>
      <w:r w:rsidR="00EC302A" w:rsidRPr="00C900FD">
        <w:rPr>
          <w:b/>
          <w:bCs/>
          <w:color w:val="ED7D31" w:themeColor="accent2"/>
        </w:rPr>
        <w:t xml:space="preserve">Interview, </w:t>
      </w:r>
      <w:r w:rsidRPr="00C900FD">
        <w:rPr>
          <w:b/>
          <w:bCs/>
          <w:color w:val="ED7D31" w:themeColor="accent2"/>
        </w:rPr>
        <w:t>Data Collection</w:t>
      </w:r>
    </w:p>
    <w:p w14:paraId="187E47D0" w14:textId="50C4E13E" w:rsidR="00BB5E24" w:rsidRPr="00BB5E24" w:rsidRDefault="00BB5E24" w:rsidP="00BB5E24">
      <w:pPr>
        <w:jc w:val="both"/>
        <w:rPr>
          <w:sz w:val="22"/>
          <w:szCs w:val="22"/>
          <w:lang w:val="en-GB"/>
        </w:rPr>
      </w:pPr>
      <w:r w:rsidRPr="00BB5E24">
        <w:rPr>
          <w:sz w:val="22"/>
          <w:szCs w:val="22"/>
          <w:lang w:val="en-GB"/>
        </w:rPr>
        <w:t>The evaluation team employed a variety of data collection methods and tools to gather extensive primary and secondary data, integrating both quantitative and qualitative approaches. This ensured data reliability, strengthened the validity of findings, and facilitated continuous feedback for future planning. The methods included:</w:t>
      </w:r>
    </w:p>
    <w:p w14:paraId="7C803230" w14:textId="77777777" w:rsidR="00BB5E24" w:rsidRPr="007A5C5F" w:rsidRDefault="00BB5E24" w:rsidP="00EA79BF">
      <w:pPr>
        <w:jc w:val="both"/>
        <w:rPr>
          <w:sz w:val="22"/>
          <w:szCs w:val="22"/>
          <w:lang w:val="en-GB"/>
        </w:rPr>
      </w:pPr>
    </w:p>
    <w:p w14:paraId="253AF500" w14:textId="2281B7BB" w:rsidR="00570CAD" w:rsidRPr="00F73416" w:rsidRDefault="00EA79BF" w:rsidP="00570CAD">
      <w:pPr>
        <w:jc w:val="both"/>
        <w:rPr>
          <w:b/>
          <w:bCs/>
          <w:sz w:val="22"/>
          <w:szCs w:val="22"/>
        </w:rPr>
      </w:pPr>
      <w:r w:rsidRPr="007A5C5F">
        <w:rPr>
          <w:rFonts w:eastAsia="DengXian Light"/>
          <w:b/>
          <w:bCs/>
          <w:sz w:val="22"/>
          <w:szCs w:val="22"/>
          <w:lang w:val="en-GB"/>
        </w:rPr>
        <w:t>Sample and sampling frame:</w:t>
      </w:r>
      <w:r w:rsidRPr="007A5C5F">
        <w:rPr>
          <w:sz w:val="22"/>
          <w:szCs w:val="22"/>
          <w:lang w:val="en-GB"/>
        </w:rPr>
        <w:t xml:space="preserve"> The evaluation team employed a combination of sampling techniques.</w:t>
      </w:r>
      <w:r w:rsidR="00570CAD" w:rsidRPr="00570CAD">
        <w:rPr>
          <w:b/>
          <w:bCs/>
          <w:sz w:val="22"/>
          <w:szCs w:val="22"/>
        </w:rPr>
        <w:t xml:space="preserve"> </w:t>
      </w:r>
      <w:r w:rsidR="00570CAD">
        <w:rPr>
          <w:b/>
          <w:bCs/>
          <w:sz w:val="22"/>
          <w:szCs w:val="22"/>
        </w:rPr>
        <w:t>Following s</w:t>
      </w:r>
      <w:r w:rsidR="00570CAD" w:rsidRPr="00F73416">
        <w:rPr>
          <w:b/>
          <w:bCs/>
          <w:sz w:val="22"/>
          <w:szCs w:val="22"/>
        </w:rPr>
        <w:t xml:space="preserve">ampling </w:t>
      </w:r>
      <w:r w:rsidR="00570CAD">
        <w:rPr>
          <w:b/>
          <w:bCs/>
          <w:sz w:val="22"/>
          <w:szCs w:val="22"/>
        </w:rPr>
        <w:t>a</w:t>
      </w:r>
      <w:r w:rsidR="00570CAD" w:rsidRPr="00F73416">
        <w:rPr>
          <w:b/>
          <w:bCs/>
          <w:sz w:val="22"/>
          <w:szCs w:val="22"/>
        </w:rPr>
        <w:t>pproach</w:t>
      </w:r>
      <w:r w:rsidR="00570CAD">
        <w:rPr>
          <w:b/>
          <w:bCs/>
          <w:sz w:val="22"/>
          <w:szCs w:val="22"/>
        </w:rPr>
        <w:t xml:space="preserve">es were used: </w:t>
      </w:r>
    </w:p>
    <w:p w14:paraId="195AD90C" w14:textId="08951062" w:rsidR="00570CAD" w:rsidRPr="00C900FD" w:rsidRDefault="00EA79BF" w:rsidP="00570CAD">
      <w:pPr>
        <w:jc w:val="both"/>
        <w:rPr>
          <w:b/>
          <w:bCs/>
          <w:sz w:val="22"/>
          <w:szCs w:val="22"/>
        </w:rPr>
      </w:pPr>
      <w:r w:rsidRPr="00C900FD">
        <w:rPr>
          <w:b/>
          <w:bCs/>
          <w:i/>
          <w:iCs/>
          <w:sz w:val="22"/>
          <w:szCs w:val="22"/>
        </w:rPr>
        <w:t xml:space="preserve">Random </w:t>
      </w:r>
      <w:r w:rsidR="00570CAD" w:rsidRPr="00C900FD">
        <w:rPr>
          <w:b/>
          <w:bCs/>
          <w:i/>
          <w:iCs/>
          <w:sz w:val="22"/>
          <w:szCs w:val="22"/>
        </w:rPr>
        <w:t>sampling:</w:t>
      </w:r>
      <w:r w:rsidR="00570CAD" w:rsidRPr="00F73416">
        <w:rPr>
          <w:sz w:val="22"/>
          <w:szCs w:val="22"/>
        </w:rPr>
        <w:t xml:space="preserve"> To gather quantitative data, random sampling was applied where possible, particularly</w:t>
      </w:r>
      <w:r w:rsidR="00570CAD">
        <w:rPr>
          <w:sz w:val="22"/>
          <w:szCs w:val="22"/>
        </w:rPr>
        <w:t>,</w:t>
      </w:r>
      <w:r w:rsidR="00570CAD" w:rsidRPr="00F73416">
        <w:rPr>
          <w:sz w:val="22"/>
          <w:szCs w:val="22"/>
        </w:rPr>
        <w:t xml:space="preserve"> among legal professionals, government officials, </w:t>
      </w:r>
      <w:r w:rsidR="00570CAD">
        <w:rPr>
          <w:sz w:val="22"/>
          <w:szCs w:val="22"/>
        </w:rPr>
        <w:t xml:space="preserve">academia </w:t>
      </w:r>
      <w:r w:rsidR="00570CAD" w:rsidRPr="00F73416">
        <w:rPr>
          <w:sz w:val="22"/>
          <w:szCs w:val="22"/>
        </w:rPr>
        <w:t>and service providers. This approach helped minimize bias and provided insights into the project’s effectiveness.</w:t>
      </w:r>
      <w:r w:rsidR="00570CAD">
        <w:rPr>
          <w:sz w:val="22"/>
          <w:szCs w:val="22"/>
        </w:rPr>
        <w:t xml:space="preserve"> </w:t>
      </w:r>
    </w:p>
    <w:p w14:paraId="46170010" w14:textId="59A23D7E" w:rsidR="00570CAD" w:rsidRDefault="00570CAD" w:rsidP="00570CAD">
      <w:pPr>
        <w:jc w:val="both"/>
        <w:rPr>
          <w:sz w:val="22"/>
          <w:szCs w:val="22"/>
          <w:lang w:val="en-GB"/>
        </w:rPr>
      </w:pPr>
      <w:r>
        <w:rPr>
          <w:sz w:val="22"/>
          <w:szCs w:val="22"/>
          <w:lang w:val="en-GB"/>
        </w:rPr>
        <w:t xml:space="preserve">This method </w:t>
      </w:r>
      <w:r w:rsidRPr="007A5C5F">
        <w:rPr>
          <w:sz w:val="22"/>
          <w:szCs w:val="22"/>
          <w:lang w:val="en-GB"/>
        </w:rPr>
        <w:t>was</w:t>
      </w:r>
      <w:r w:rsidR="00EA79BF" w:rsidRPr="007A5C5F">
        <w:rPr>
          <w:sz w:val="22"/>
          <w:szCs w:val="22"/>
          <w:lang w:val="en-GB"/>
        </w:rPr>
        <w:t xml:space="preserve"> applied not only </w:t>
      </w:r>
      <w:r w:rsidR="00EA79BF">
        <w:rPr>
          <w:sz w:val="22"/>
          <w:szCs w:val="22"/>
          <w:lang w:val="en-GB"/>
        </w:rPr>
        <w:t>to</w:t>
      </w:r>
      <w:r w:rsidR="00EA79BF" w:rsidRPr="007A5C5F">
        <w:rPr>
          <w:sz w:val="22"/>
          <w:szCs w:val="22"/>
          <w:lang w:val="en-GB"/>
        </w:rPr>
        <w:t xml:space="preserve"> </w:t>
      </w:r>
      <w:r w:rsidR="00EA79BF">
        <w:rPr>
          <w:sz w:val="22"/>
          <w:szCs w:val="22"/>
          <w:lang w:val="en-GB"/>
        </w:rPr>
        <w:t>select</w:t>
      </w:r>
      <w:r w:rsidR="00EA79BF" w:rsidRPr="007A5C5F">
        <w:rPr>
          <w:sz w:val="22"/>
          <w:szCs w:val="22"/>
          <w:lang w:val="en-GB"/>
        </w:rPr>
        <w:t xml:space="preserve"> participants for focus group discussions but also </w:t>
      </w:r>
      <w:r w:rsidR="00EA79BF">
        <w:rPr>
          <w:sz w:val="22"/>
          <w:szCs w:val="22"/>
          <w:lang w:val="en-GB"/>
        </w:rPr>
        <w:t>to</w:t>
      </w:r>
      <w:r w:rsidR="00EA79BF" w:rsidRPr="007A5C5F">
        <w:rPr>
          <w:sz w:val="22"/>
          <w:szCs w:val="22"/>
          <w:lang w:val="en-GB"/>
        </w:rPr>
        <w:t xml:space="preserve"> </w:t>
      </w:r>
      <w:r w:rsidR="00EA79BF">
        <w:rPr>
          <w:sz w:val="22"/>
          <w:szCs w:val="22"/>
          <w:lang w:val="en-GB"/>
        </w:rPr>
        <w:t>select</w:t>
      </w:r>
      <w:r w:rsidR="00EA79BF" w:rsidRPr="007A5C5F">
        <w:rPr>
          <w:sz w:val="22"/>
          <w:szCs w:val="22"/>
          <w:lang w:val="en-GB"/>
        </w:rPr>
        <w:t xml:space="preserve"> projects for the internal coherence evaluation. For example, two SDG16 Portfolio projects of UNDP were randomly selected to assess internal coherence.</w:t>
      </w:r>
    </w:p>
    <w:p w14:paraId="10647FA1" w14:textId="6B60C48D" w:rsidR="00F73416" w:rsidRPr="00F73416" w:rsidRDefault="00F73416" w:rsidP="00C900FD">
      <w:pPr>
        <w:jc w:val="both"/>
        <w:rPr>
          <w:sz w:val="22"/>
          <w:szCs w:val="22"/>
        </w:rPr>
      </w:pPr>
      <w:r w:rsidRPr="00C900FD">
        <w:rPr>
          <w:b/>
          <w:bCs/>
          <w:i/>
          <w:iCs/>
          <w:sz w:val="22"/>
          <w:szCs w:val="22"/>
        </w:rPr>
        <w:t>Stratified Sampling</w:t>
      </w:r>
      <w:r w:rsidR="00570CAD" w:rsidRPr="00C900FD">
        <w:rPr>
          <w:i/>
          <w:iCs/>
          <w:sz w:val="22"/>
          <w:szCs w:val="22"/>
        </w:rPr>
        <w:t>:</w:t>
      </w:r>
      <w:r w:rsidR="00570CAD">
        <w:rPr>
          <w:sz w:val="22"/>
          <w:szCs w:val="22"/>
        </w:rPr>
        <w:t xml:space="preserve"> </w:t>
      </w:r>
      <w:r w:rsidRPr="00F73416">
        <w:rPr>
          <w:sz w:val="22"/>
          <w:szCs w:val="22"/>
        </w:rPr>
        <w:t>Given the complexity of the justice system and the involvement of multiple actors, stratified sampling was used to ensure representation from key stakeholder groups.</w:t>
      </w:r>
      <w:r>
        <w:rPr>
          <w:sz w:val="22"/>
          <w:szCs w:val="22"/>
        </w:rPr>
        <w:t xml:space="preserve"> To this end, t</w:t>
      </w:r>
      <w:r w:rsidRPr="00F73416">
        <w:rPr>
          <w:sz w:val="22"/>
          <w:szCs w:val="22"/>
        </w:rPr>
        <w:t xml:space="preserve">he sample was divided into relevant strata, such as judicial actors (judges, prosecutors, law enforcement), </w:t>
      </w:r>
      <w:r w:rsidR="00EC57B7">
        <w:rPr>
          <w:sz w:val="22"/>
          <w:szCs w:val="22"/>
        </w:rPr>
        <w:t>forensic</w:t>
      </w:r>
      <w:r>
        <w:rPr>
          <w:sz w:val="22"/>
          <w:szCs w:val="22"/>
        </w:rPr>
        <w:t xml:space="preserve"> institution, </w:t>
      </w:r>
      <w:r w:rsidRPr="00F73416">
        <w:rPr>
          <w:sz w:val="22"/>
          <w:szCs w:val="22"/>
        </w:rPr>
        <w:t>child protection service providers, legal aid organizations, and children who had interacted with the system</w:t>
      </w:r>
      <w:r>
        <w:rPr>
          <w:sz w:val="22"/>
          <w:szCs w:val="22"/>
        </w:rPr>
        <w:t>, academia</w:t>
      </w:r>
      <w:r w:rsidRPr="00F73416">
        <w:rPr>
          <w:sz w:val="22"/>
          <w:szCs w:val="22"/>
        </w:rPr>
        <w:t>.</w:t>
      </w:r>
    </w:p>
    <w:p w14:paraId="0D7E29F6" w14:textId="383D8C28" w:rsidR="00F73416" w:rsidRPr="00F73416" w:rsidRDefault="00F73416" w:rsidP="00C900FD">
      <w:pPr>
        <w:tabs>
          <w:tab w:val="num" w:pos="720"/>
        </w:tabs>
        <w:jc w:val="both"/>
        <w:rPr>
          <w:sz w:val="22"/>
          <w:szCs w:val="22"/>
        </w:rPr>
      </w:pPr>
      <w:r w:rsidRPr="00C900FD">
        <w:rPr>
          <w:b/>
          <w:bCs/>
          <w:i/>
          <w:iCs/>
          <w:sz w:val="22"/>
          <w:szCs w:val="22"/>
        </w:rPr>
        <w:t>Purposive Sampling</w:t>
      </w:r>
      <w:r w:rsidR="00570CAD" w:rsidRPr="00C900FD">
        <w:rPr>
          <w:i/>
          <w:iCs/>
          <w:sz w:val="22"/>
          <w:szCs w:val="22"/>
        </w:rPr>
        <w:t>:</w:t>
      </w:r>
      <w:r w:rsidR="00570CAD">
        <w:rPr>
          <w:sz w:val="22"/>
          <w:szCs w:val="22"/>
        </w:rPr>
        <w:t xml:space="preserve"> </w:t>
      </w:r>
      <w:r w:rsidR="00570CAD" w:rsidRPr="007A5C5F">
        <w:rPr>
          <w:sz w:val="22"/>
          <w:szCs w:val="22"/>
          <w:lang w:val="en-GB"/>
        </w:rPr>
        <w:t>Purposive sampling was used to select stakeholders and beneficiaries from the four duty-bearing and two rights-holding institutions where project activities were implemented, ensuring their meaningful participation in the evaluation and data collection processes. It also aimed to promote gender balance, with a minimum target of 50% female interviewees, and to ensure that key informant interview (KII) participants could actively engage and provide relevant insights.</w:t>
      </w:r>
    </w:p>
    <w:p w14:paraId="69444F7D" w14:textId="76CDF5EA" w:rsidR="00570CAD" w:rsidRDefault="00F73416" w:rsidP="00570CAD">
      <w:pPr>
        <w:tabs>
          <w:tab w:val="num" w:pos="720"/>
        </w:tabs>
        <w:jc w:val="both"/>
        <w:rPr>
          <w:sz w:val="22"/>
          <w:szCs w:val="22"/>
        </w:rPr>
      </w:pPr>
      <w:r w:rsidRPr="00C900FD">
        <w:rPr>
          <w:b/>
          <w:bCs/>
          <w:i/>
          <w:iCs/>
          <w:sz w:val="22"/>
          <w:szCs w:val="22"/>
        </w:rPr>
        <w:t>Cluster Sampling</w:t>
      </w:r>
      <w:r w:rsidR="00570CAD" w:rsidRPr="00C900FD">
        <w:rPr>
          <w:i/>
          <w:iCs/>
          <w:sz w:val="22"/>
          <w:szCs w:val="22"/>
        </w:rPr>
        <w:t>:</w:t>
      </w:r>
      <w:r w:rsidR="00570CAD">
        <w:rPr>
          <w:sz w:val="22"/>
          <w:szCs w:val="22"/>
        </w:rPr>
        <w:t xml:space="preserve"> </w:t>
      </w:r>
      <w:r w:rsidRPr="00F73416">
        <w:rPr>
          <w:sz w:val="22"/>
          <w:szCs w:val="22"/>
        </w:rPr>
        <w:t xml:space="preserve">Since the project operated across multiple locations in Sri Lanka, cluster sampling was used to ensure regional representation. </w:t>
      </w:r>
      <w:r>
        <w:rPr>
          <w:sz w:val="22"/>
          <w:szCs w:val="22"/>
        </w:rPr>
        <w:t xml:space="preserve">The ToR have provided ten </w:t>
      </w:r>
      <w:r w:rsidR="00EC57B7">
        <w:rPr>
          <w:sz w:val="22"/>
          <w:szCs w:val="22"/>
        </w:rPr>
        <w:t>geographic</w:t>
      </w:r>
      <w:r>
        <w:rPr>
          <w:sz w:val="22"/>
          <w:szCs w:val="22"/>
        </w:rPr>
        <w:t xml:space="preserve"> locations where the data could be collected across implementation areas. </w:t>
      </w:r>
      <w:r w:rsidRPr="00F73416">
        <w:rPr>
          <w:sz w:val="22"/>
          <w:szCs w:val="22"/>
        </w:rPr>
        <w:t>Clusters were selected based on factors such as urban/rural locations, provinces with high caseloads of cases, and areas where justice system reforms had been actively implemented</w:t>
      </w:r>
      <w:r>
        <w:rPr>
          <w:sz w:val="22"/>
          <w:szCs w:val="22"/>
        </w:rPr>
        <w:t xml:space="preserve"> (See Figure 2. Map of data collection).</w:t>
      </w:r>
    </w:p>
    <w:p w14:paraId="4A236D6F" w14:textId="14E084DD" w:rsidR="00F73416" w:rsidRPr="00F73416" w:rsidRDefault="00F73416" w:rsidP="00C900FD">
      <w:pPr>
        <w:tabs>
          <w:tab w:val="num" w:pos="720"/>
        </w:tabs>
        <w:jc w:val="both"/>
        <w:rPr>
          <w:sz w:val="22"/>
          <w:szCs w:val="22"/>
        </w:rPr>
      </w:pPr>
      <w:r w:rsidRPr="00C900FD">
        <w:rPr>
          <w:b/>
          <w:bCs/>
          <w:i/>
          <w:iCs/>
          <w:sz w:val="22"/>
          <w:szCs w:val="22"/>
        </w:rPr>
        <w:t>Snowball Sampling</w:t>
      </w:r>
      <w:r w:rsidR="00570CAD" w:rsidRPr="00C900FD">
        <w:rPr>
          <w:i/>
          <w:iCs/>
          <w:sz w:val="22"/>
          <w:szCs w:val="22"/>
        </w:rPr>
        <w:t>:</w:t>
      </w:r>
      <w:r w:rsidR="00570CAD">
        <w:rPr>
          <w:sz w:val="22"/>
          <w:szCs w:val="22"/>
        </w:rPr>
        <w:t xml:space="preserve"> </w:t>
      </w:r>
      <w:r w:rsidRPr="00F73416">
        <w:rPr>
          <w:sz w:val="22"/>
          <w:szCs w:val="22"/>
        </w:rPr>
        <w:t xml:space="preserve">Given the sensitive nature of children's experiences in the justice system, snowball sampling was used to identify </w:t>
      </w:r>
      <w:r>
        <w:rPr>
          <w:sz w:val="22"/>
          <w:szCs w:val="22"/>
        </w:rPr>
        <w:t xml:space="preserve">representatives of </w:t>
      </w:r>
      <w:r w:rsidRPr="00F73416">
        <w:rPr>
          <w:sz w:val="22"/>
          <w:szCs w:val="22"/>
        </w:rPr>
        <w:t>child beneficiaries willing to participate in interviews or focus group discussions.</w:t>
      </w:r>
      <w:r>
        <w:rPr>
          <w:sz w:val="22"/>
          <w:szCs w:val="22"/>
        </w:rPr>
        <w:t xml:space="preserve"> Such discussions were organised in Gale with the mothers. </w:t>
      </w:r>
      <w:r w:rsidRPr="00F73416">
        <w:rPr>
          <w:sz w:val="22"/>
          <w:szCs w:val="22"/>
        </w:rPr>
        <w:t>This ensured ethical considerations were maintained while accessing valuable perspectives from children impacted by the system.</w:t>
      </w:r>
    </w:p>
    <w:p w14:paraId="5F56E26A" w14:textId="77777777" w:rsidR="006C5E84" w:rsidRPr="006C5E84" w:rsidRDefault="00F73416" w:rsidP="006C5E84">
      <w:pPr>
        <w:jc w:val="both"/>
        <w:rPr>
          <w:sz w:val="22"/>
          <w:szCs w:val="22"/>
          <w:lang w:val="en-GB"/>
        </w:rPr>
      </w:pPr>
      <w:r w:rsidRPr="00C900FD">
        <w:rPr>
          <w:b/>
          <w:bCs/>
          <w:i/>
          <w:iCs/>
          <w:sz w:val="22"/>
          <w:szCs w:val="22"/>
        </w:rPr>
        <w:lastRenderedPageBreak/>
        <w:t>Sample Size Considerations</w:t>
      </w:r>
      <w:r w:rsidR="00570CAD" w:rsidRPr="00C900FD">
        <w:rPr>
          <w:b/>
          <w:bCs/>
          <w:i/>
          <w:iCs/>
          <w:sz w:val="22"/>
          <w:szCs w:val="22"/>
        </w:rPr>
        <w:t>:</w:t>
      </w:r>
      <w:r w:rsidR="00570CAD">
        <w:rPr>
          <w:b/>
          <w:bCs/>
          <w:sz w:val="22"/>
          <w:szCs w:val="22"/>
        </w:rPr>
        <w:t xml:space="preserve"> </w:t>
      </w:r>
      <w:r w:rsidRPr="00F73416">
        <w:rPr>
          <w:sz w:val="22"/>
          <w:szCs w:val="22"/>
        </w:rPr>
        <w:t xml:space="preserve">The sample size was determined based on the availability of </w:t>
      </w:r>
      <w:r w:rsidR="00EC57B7" w:rsidRPr="00F73416">
        <w:rPr>
          <w:sz w:val="22"/>
          <w:szCs w:val="22"/>
        </w:rPr>
        <w:t>stakeholders, logistical</w:t>
      </w:r>
      <w:r w:rsidRPr="00F73416">
        <w:rPr>
          <w:sz w:val="22"/>
          <w:szCs w:val="22"/>
        </w:rPr>
        <w:t xml:space="preserve"> constraints, and the need for a balanced representation of perspectives</w:t>
      </w:r>
      <w:r w:rsidRPr="006C5E84">
        <w:rPr>
          <w:sz w:val="22"/>
          <w:szCs w:val="22"/>
        </w:rPr>
        <w:t xml:space="preserve">. </w:t>
      </w:r>
      <w:r w:rsidR="006C5E84" w:rsidRPr="006C5E84">
        <w:rPr>
          <w:sz w:val="22"/>
          <w:szCs w:val="22"/>
          <w:lang w:val="en-GB"/>
        </w:rPr>
        <w:t xml:space="preserve">The evaluation methodology </w:t>
      </w:r>
      <w:r w:rsidR="006C5E84" w:rsidRPr="006C5E84">
        <w:rPr>
          <w:b/>
          <w:bCs/>
          <w:sz w:val="22"/>
          <w:szCs w:val="22"/>
          <w:lang w:val="en-GB"/>
        </w:rPr>
        <w:t>explicitly addressed gender considerations</w:t>
      </w:r>
      <w:r w:rsidR="006C5E84" w:rsidRPr="006C5E84">
        <w:rPr>
          <w:sz w:val="22"/>
          <w:szCs w:val="22"/>
          <w:lang w:val="en-GB"/>
        </w:rPr>
        <w:t xml:space="preserve"> by integrating </w:t>
      </w:r>
      <w:r w:rsidR="006C5E84" w:rsidRPr="006C5E84">
        <w:rPr>
          <w:b/>
          <w:bCs/>
          <w:sz w:val="22"/>
          <w:szCs w:val="22"/>
          <w:lang w:val="en-GB"/>
        </w:rPr>
        <w:t>sex-disaggregated data collection and analysis</w:t>
      </w:r>
      <w:r w:rsidR="006C5E84" w:rsidRPr="006C5E84">
        <w:rPr>
          <w:sz w:val="22"/>
          <w:szCs w:val="22"/>
          <w:lang w:val="en-GB"/>
        </w:rPr>
        <w:t xml:space="preserve">. Informants </w:t>
      </w:r>
      <w:r w:rsidR="006C5E84" w:rsidRPr="006C5E84">
        <w:rPr>
          <w:b/>
          <w:bCs/>
          <w:sz w:val="22"/>
          <w:szCs w:val="22"/>
          <w:lang w:val="en-GB"/>
        </w:rPr>
        <w:t>included beneficiaries of activities supporting GBV and DV survivors</w:t>
      </w:r>
      <w:r w:rsidR="006C5E84" w:rsidRPr="006C5E84">
        <w:rPr>
          <w:sz w:val="22"/>
          <w:szCs w:val="22"/>
          <w:lang w:val="en-GB"/>
        </w:rPr>
        <w:t xml:space="preserve">, ensuring a gender-responsive approach. Findings and recommendations </w:t>
      </w:r>
      <w:r w:rsidR="006C5E84" w:rsidRPr="006C5E84">
        <w:rPr>
          <w:b/>
          <w:bCs/>
          <w:sz w:val="22"/>
          <w:szCs w:val="22"/>
          <w:lang w:val="en-GB"/>
        </w:rPr>
        <w:t>were drafted to support the economic and legal empowerment of project beneficiaries</w:t>
      </w:r>
      <w:r w:rsidR="006C5E84" w:rsidRPr="006C5E84">
        <w:rPr>
          <w:sz w:val="22"/>
          <w:szCs w:val="22"/>
          <w:lang w:val="en-GB"/>
        </w:rPr>
        <w:t xml:space="preserve">, particularly single </w:t>
      </w:r>
      <w:r w:rsidR="006C5E84" w:rsidRPr="006C5E84">
        <w:rPr>
          <w:b/>
          <w:bCs/>
          <w:sz w:val="22"/>
          <w:szCs w:val="22"/>
          <w:lang w:val="en-GB"/>
        </w:rPr>
        <w:t>mothers supported by JURE</w:t>
      </w:r>
      <w:r w:rsidR="006C5E84" w:rsidRPr="006C5E84">
        <w:rPr>
          <w:sz w:val="22"/>
          <w:szCs w:val="22"/>
          <w:lang w:val="en-GB"/>
        </w:rPr>
        <w:t>, demonstrating a structured focus on gender impact.</w:t>
      </w:r>
      <w:r w:rsidR="006C5E84" w:rsidRPr="006C5E84">
        <w:rPr>
          <w:sz w:val="22"/>
          <w:szCs w:val="22"/>
        </w:rPr>
        <w:t xml:space="preserve"> The evaluation </w:t>
      </w:r>
      <w:r w:rsidR="006C5E84" w:rsidRPr="006C5E84">
        <w:rPr>
          <w:rStyle w:val="Strong"/>
          <w:sz w:val="22"/>
          <w:szCs w:val="22"/>
        </w:rPr>
        <w:t>accounted for stakeholder diversity</w:t>
      </w:r>
      <w:r w:rsidR="006C5E84" w:rsidRPr="006C5E84">
        <w:rPr>
          <w:sz w:val="22"/>
          <w:szCs w:val="22"/>
        </w:rPr>
        <w:t xml:space="preserve">, incorporating perspectives from </w:t>
      </w:r>
      <w:r w:rsidR="006C5E84" w:rsidRPr="006C5E84">
        <w:rPr>
          <w:rStyle w:val="Strong"/>
          <w:sz w:val="22"/>
          <w:szCs w:val="22"/>
        </w:rPr>
        <w:t>marginalized and vulnerable groups</w:t>
      </w:r>
      <w:r w:rsidR="006C5E84" w:rsidRPr="006C5E84">
        <w:rPr>
          <w:sz w:val="22"/>
          <w:szCs w:val="22"/>
        </w:rPr>
        <w:t xml:space="preserve">, including </w:t>
      </w:r>
      <w:r w:rsidR="006C5E84" w:rsidRPr="006C5E84">
        <w:rPr>
          <w:rStyle w:val="Strong"/>
          <w:sz w:val="22"/>
          <w:szCs w:val="22"/>
        </w:rPr>
        <w:t>women-headed households, survivors of violence, language minorities and economically disadvantaged beneficiaries</w:t>
      </w:r>
      <w:r w:rsidR="006C5E84" w:rsidRPr="006C5E84">
        <w:rPr>
          <w:sz w:val="22"/>
          <w:szCs w:val="22"/>
        </w:rPr>
        <w:t xml:space="preserve">. The </w:t>
      </w:r>
      <w:r w:rsidR="006C5E84" w:rsidRPr="006C5E84">
        <w:rPr>
          <w:b/>
          <w:bCs/>
          <w:sz w:val="22"/>
          <w:szCs w:val="22"/>
        </w:rPr>
        <w:t>sampling frame</w:t>
      </w:r>
      <w:r w:rsidR="006C5E84" w:rsidRPr="006C5E84">
        <w:rPr>
          <w:sz w:val="22"/>
          <w:szCs w:val="22"/>
        </w:rPr>
        <w:t xml:space="preserve"> was designed to ensure </w:t>
      </w:r>
      <w:r w:rsidR="006C5E84" w:rsidRPr="006C5E84">
        <w:rPr>
          <w:rStyle w:val="Strong"/>
          <w:sz w:val="22"/>
          <w:szCs w:val="22"/>
        </w:rPr>
        <w:t>inclusivity</w:t>
      </w:r>
      <w:r w:rsidR="006C5E84" w:rsidRPr="006C5E84">
        <w:rPr>
          <w:sz w:val="22"/>
          <w:szCs w:val="22"/>
        </w:rPr>
        <w:t>, reflecting the diverse experiences of those affected by the intervention.</w:t>
      </w:r>
    </w:p>
    <w:p w14:paraId="5F12C9BB" w14:textId="2338E14A" w:rsidR="00570CAD" w:rsidRPr="00C900FD" w:rsidRDefault="00570CAD" w:rsidP="00570CAD">
      <w:pPr>
        <w:jc w:val="both"/>
        <w:rPr>
          <w:b/>
          <w:bCs/>
          <w:sz w:val="22"/>
          <w:szCs w:val="22"/>
        </w:rPr>
      </w:pPr>
    </w:p>
    <w:p w14:paraId="5E89E284" w14:textId="2FD901FF" w:rsidR="00EA79BF" w:rsidRPr="007A5C5F" w:rsidRDefault="00EA79BF" w:rsidP="00EA79BF">
      <w:pPr>
        <w:jc w:val="both"/>
        <w:rPr>
          <w:sz w:val="22"/>
          <w:szCs w:val="22"/>
          <w:lang w:val="en-GB"/>
        </w:rPr>
      </w:pPr>
    </w:p>
    <w:p w14:paraId="49A8DF53" w14:textId="2804C945" w:rsidR="00EA79BF" w:rsidRPr="00FA602C" w:rsidRDefault="00EA79BF" w:rsidP="00EA79BF">
      <w:pPr>
        <w:jc w:val="both"/>
        <w:rPr>
          <w:sz w:val="22"/>
          <w:szCs w:val="22"/>
          <w:lang w:val="en-GB"/>
        </w:rPr>
      </w:pPr>
      <w:r w:rsidRPr="007A5C5F">
        <w:rPr>
          <w:rFonts w:eastAsia="DengXian Light"/>
          <w:b/>
          <w:bCs/>
          <w:sz w:val="22"/>
          <w:szCs w:val="22"/>
          <w:lang w:val="en-GB"/>
        </w:rPr>
        <w:t>Stakeholder participation:</w:t>
      </w:r>
      <w:r w:rsidRPr="007A5C5F">
        <w:rPr>
          <w:sz w:val="22"/>
          <w:szCs w:val="22"/>
          <w:lang w:val="en-GB"/>
        </w:rPr>
        <w:t xml:space="preserve"> The evaluation engaged a diverse range of stakeholders, including government officials, justice sector actors, civil society representatives, and international partners. Their participation took various forms, such as key informant interviews, focus group discussions, and survey responses. Final beneficiaries also played a crucial role in the evaluation process. Women supported by the JURE project—including those who received legal aid and financial assistance to support their children—provided firsthand accounts of the project's impact. Survivors of gender-based violence (GBV) shared their experiences, highlighting the effectiveness of access to justice mechanisms. Law students and continuing legal education participants contributed insights into the project's influence on legal education and professional development. Law enforcement agents, judges, and other justice sector actors reflected on how the project improved their capacities in legal and judicial processes.</w:t>
      </w:r>
      <w:r w:rsidR="00BB5E24">
        <w:rPr>
          <w:sz w:val="22"/>
          <w:szCs w:val="22"/>
          <w:lang w:val="en-GB"/>
        </w:rPr>
        <w:t xml:space="preserve"> </w:t>
      </w:r>
      <w:r w:rsidRPr="007A5C5F">
        <w:rPr>
          <w:sz w:val="22"/>
          <w:szCs w:val="22"/>
          <w:lang w:val="en-GB"/>
        </w:rPr>
        <w:t>The active participation of both men and women across these groups ensured a balanced perspective, strengthening the credibility and inclusivity of the evaluation. Their diverse inputs enriched the findings, providing a comprehensive assessment of the JURE project’s impact on justice sector reforms and access to justice in Sri Lanka.</w:t>
      </w:r>
    </w:p>
    <w:p w14:paraId="6E8C41E6" w14:textId="7A58532A" w:rsidR="00EA79BF" w:rsidRDefault="00FA602C" w:rsidP="00EA79BF">
      <w:pPr>
        <w:jc w:val="both"/>
        <w:rPr>
          <w:sz w:val="22"/>
          <w:szCs w:val="22"/>
          <w:lang w:val="en-GB"/>
        </w:rPr>
      </w:pPr>
      <w:r w:rsidRPr="007A5C5F">
        <w:rPr>
          <w:noProof/>
          <w:lang w:val="en-GB"/>
        </w:rPr>
        <w:drawing>
          <wp:anchor distT="0" distB="0" distL="114300" distR="114300" simplePos="0" relativeHeight="251707392" behindDoc="0" locked="0" layoutInCell="1" allowOverlap="1" wp14:anchorId="3F7D0AED" wp14:editId="51F5FB09">
            <wp:simplePos x="0" y="0"/>
            <wp:positionH relativeFrom="margin">
              <wp:posOffset>8890</wp:posOffset>
            </wp:positionH>
            <wp:positionV relativeFrom="margin">
              <wp:posOffset>4398010</wp:posOffset>
            </wp:positionV>
            <wp:extent cx="3743325" cy="3900805"/>
            <wp:effectExtent l="0" t="0" r="3175" b="0"/>
            <wp:wrapSquare wrapText="bothSides"/>
            <wp:docPr id="150303822" name="Content Placeholder 7" descr="A map with blue pi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extLst>
                        <a:ext uri="{28A0092B-C50C-407E-A947-70E740481C1C}">
                          <a14:useLocalDpi xmlns:a14="http://schemas.microsoft.com/office/drawing/2010/main" val="0"/>
                        </a:ext>
                      </a:extLst>
                    </a:blip>
                    <a:srcRect t="149" r="2" b="2"/>
                    <a:stretch>
                      <a:fillRect/>
                    </a:stretch>
                  </pic:blipFill>
                  <pic:spPr>
                    <a:xfrm>
                      <a:off x="0" y="0"/>
                      <a:ext cx="3743325" cy="3900805"/>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EA79BF" w:rsidRPr="007A5C5F">
        <w:rPr>
          <w:rFonts w:eastAsia="DengXian Light"/>
          <w:b/>
          <w:bCs/>
          <w:sz w:val="22"/>
          <w:szCs w:val="22"/>
          <w:lang w:val="en-GB"/>
        </w:rPr>
        <w:t>Ethical considerations:</w:t>
      </w:r>
      <w:r w:rsidR="00EA79BF" w:rsidRPr="007A5C5F">
        <w:rPr>
          <w:rFonts w:eastAsia="DengXian Light"/>
          <w:sz w:val="22"/>
          <w:szCs w:val="22"/>
          <w:lang w:val="en-GB"/>
        </w:rPr>
        <w:t xml:space="preserve"> </w:t>
      </w:r>
      <w:r w:rsidR="00EA79BF" w:rsidRPr="007A5C5F">
        <w:rPr>
          <w:sz w:val="22"/>
          <w:szCs w:val="22"/>
          <w:lang w:val="en-GB"/>
        </w:rPr>
        <w:t xml:space="preserve">The evaluation was conducted in line with international best practices and standards, including the OECD DAC ethical considerations for development evaluations and the UNEG Ethical Guidelines and Code of Conduct. At the outset, the evaluation team signed the UNEG Pledge of Ethical Conduct (Annex X). Stakeholder information was treated with strict confidentiality and in full compliance with UNDP’s Rules on Personal Data Protection. The evaluation adhered to ethical and legal principles, ensuring the </w:t>
      </w:r>
      <w:r w:rsidR="00EA79BF">
        <w:rPr>
          <w:sz w:val="22"/>
          <w:szCs w:val="22"/>
          <w:lang w:val="en-GB"/>
        </w:rPr>
        <w:t>well-being</w:t>
      </w:r>
      <w:r w:rsidR="00EA79BF" w:rsidRPr="007A5C5F">
        <w:rPr>
          <w:sz w:val="22"/>
          <w:szCs w:val="22"/>
          <w:lang w:val="en-GB"/>
        </w:rPr>
        <w:t xml:space="preserve"> of all individuals involved. Measures were taken to minimize risks to participants in accordance with professional standards and the ‘do no harm’ principle. A structured informed consent protocol was followed, requiring explicit participant consent before any data collection meetings or interviews (Annex VI). To uphold ethical and methodological </w:t>
      </w:r>
      <w:r w:rsidR="00EA79BF">
        <w:rPr>
          <w:sz w:val="22"/>
          <w:szCs w:val="22"/>
          <w:lang w:val="en-GB"/>
        </w:rPr>
        <w:t>rigour</w:t>
      </w:r>
      <w:r w:rsidR="00EA79BF" w:rsidRPr="007A5C5F">
        <w:rPr>
          <w:sz w:val="22"/>
          <w:szCs w:val="22"/>
          <w:lang w:val="en-GB"/>
        </w:rPr>
        <w:t>, all data collectors received a pre-data collection briefing from UNICEF</w:t>
      </w:r>
      <w:r w:rsidR="006C5CC9" w:rsidRPr="00C900FD">
        <w:rPr>
          <w:sz w:val="22"/>
          <w:szCs w:val="22"/>
          <w:lang w:val="en-GB"/>
        </w:rPr>
        <w:t xml:space="preserve"> midway through the data collection </w:t>
      </w:r>
      <w:r w:rsidR="006C5CC9" w:rsidRPr="006C5CC9">
        <w:rPr>
          <w:sz w:val="22"/>
          <w:szCs w:val="22"/>
          <w:lang w:val="en-GB"/>
        </w:rPr>
        <w:t>process.</w:t>
      </w:r>
      <w:r w:rsidR="00EC302A" w:rsidRPr="00EC302A">
        <w:rPr>
          <w:noProof/>
          <w:lang w:val="en-GB"/>
        </w:rPr>
        <w:t xml:space="preserve"> </w:t>
      </w:r>
    </w:p>
    <w:p w14:paraId="2C524AE1" w14:textId="5AFDA156" w:rsidR="00EC302A" w:rsidRPr="007A5C5F" w:rsidRDefault="00EC302A" w:rsidP="00EA79BF">
      <w:pPr>
        <w:jc w:val="both"/>
        <w:rPr>
          <w:rFonts w:eastAsia="DengXian Light"/>
          <w:sz w:val="22"/>
          <w:szCs w:val="22"/>
          <w:lang w:val="en-GB"/>
        </w:rPr>
      </w:pPr>
    </w:p>
    <w:p w14:paraId="10528E4C" w14:textId="42EA4DC8" w:rsidR="00EA79BF" w:rsidRPr="007A5C5F" w:rsidRDefault="00EA79BF" w:rsidP="00EA79BF">
      <w:pPr>
        <w:jc w:val="both"/>
        <w:rPr>
          <w:b/>
          <w:bCs/>
          <w:sz w:val="22"/>
          <w:szCs w:val="22"/>
          <w:lang w:val="en-GB"/>
        </w:rPr>
      </w:pPr>
    </w:p>
    <w:p w14:paraId="17E051CC" w14:textId="297B7708" w:rsidR="00FA602C" w:rsidRDefault="00FA602C" w:rsidP="00EA79BF">
      <w:pPr>
        <w:ind w:left="360" w:hanging="360"/>
        <w:jc w:val="both"/>
        <w:rPr>
          <w:b/>
          <w:bCs/>
          <w:sz w:val="22"/>
          <w:szCs w:val="22"/>
          <w:lang w:val="en-GB"/>
        </w:rPr>
      </w:pPr>
      <w:r w:rsidRPr="007A5C5F">
        <w:rPr>
          <w:noProof/>
          <w:lang w:val="en-GB"/>
        </w:rPr>
        <mc:AlternateContent>
          <mc:Choice Requires="wps">
            <w:drawing>
              <wp:anchor distT="0" distB="0" distL="114300" distR="114300" simplePos="0" relativeHeight="251713536" behindDoc="0" locked="0" layoutInCell="1" allowOverlap="1" wp14:anchorId="226B3AA8" wp14:editId="463C01A8">
                <wp:simplePos x="0" y="0"/>
                <wp:positionH relativeFrom="column">
                  <wp:posOffset>8890</wp:posOffset>
                </wp:positionH>
                <wp:positionV relativeFrom="paragraph">
                  <wp:posOffset>40005</wp:posOffset>
                </wp:positionV>
                <wp:extent cx="3743960" cy="163830"/>
                <wp:effectExtent l="0" t="0" r="2540" b="1270"/>
                <wp:wrapSquare wrapText="bothSides"/>
                <wp:docPr id="148910342" name="Text Box 1"/>
                <wp:cNvGraphicFramePr/>
                <a:graphic xmlns:a="http://schemas.openxmlformats.org/drawingml/2006/main">
                  <a:graphicData uri="http://schemas.microsoft.com/office/word/2010/wordprocessingShape">
                    <wps:wsp>
                      <wps:cNvSpPr txBox="1"/>
                      <wps:spPr>
                        <a:xfrm>
                          <a:off x="0" y="0"/>
                          <a:ext cx="3743960" cy="163830"/>
                        </a:xfrm>
                        <a:prstGeom prst="rect">
                          <a:avLst/>
                        </a:prstGeom>
                        <a:solidFill>
                          <a:prstClr val="white"/>
                        </a:solidFill>
                        <a:ln>
                          <a:noFill/>
                        </a:ln>
                      </wps:spPr>
                      <wps:txbx>
                        <w:txbxContent>
                          <w:p w14:paraId="4362C4AF" w14:textId="4379815C" w:rsidR="00EC302A" w:rsidRPr="00C0036F" w:rsidRDefault="00EC302A" w:rsidP="00EC302A">
                            <w:pPr>
                              <w:pStyle w:val="Caption"/>
                              <w:rPr>
                                <w:noProof/>
                              </w:rPr>
                            </w:pPr>
                            <w:r>
                              <w:t xml:space="preserve">Figure </w:t>
                            </w:r>
                            <w:r>
                              <w:fldChar w:fldCharType="begin"/>
                            </w:r>
                            <w:r>
                              <w:instrText xml:space="preserve"> SEQ Figure \* ARABIC </w:instrText>
                            </w:r>
                            <w:r>
                              <w:fldChar w:fldCharType="separate"/>
                            </w:r>
                            <w:r w:rsidR="0095181E">
                              <w:rPr>
                                <w:noProof/>
                              </w:rPr>
                              <w:t>2</w:t>
                            </w:r>
                            <w:r>
                              <w:fldChar w:fldCharType="end"/>
                            </w:r>
                            <w:r>
                              <w:t>. Map of data collection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26B3AA8" id="_x0000_t202" coordsize="21600,21600" o:spt="202" path="m,l,21600r21600,l21600,xe">
                <v:stroke joinstyle="miter"/>
                <v:path gradientshapeok="t" o:connecttype="rect"/>
              </v:shapetype>
              <v:shape id="Text Box 1" o:spid="_x0000_s1026" type="#_x0000_t202" style="position:absolute;left:0;text-align:left;margin-left:.7pt;margin-top:3.15pt;width:294.8pt;height:12.9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" stroked="f">
                <v:textbox inset="0,0,0,0">
                  <w:txbxContent>
                    <w:p w14:paraId="4362C4AF" w14:textId="4379815C" w:rsidR="00EC302A" w:rsidRPr="00C0036F" w:rsidRDefault="00EC302A" w:rsidP="00EC302A">
                      <w:pPr>
                        <w:pStyle w:val="Caption"/>
                        <w:rPr>
                          <w:noProof/>
                        </w:rPr>
                      </w:pPr>
                      <w:r>
                        <w:t xml:space="preserve">Figure </w:t>
                      </w:r>
                      <w:r>
                        <w:fldChar w:fldCharType="begin"/>
                      </w:r>
                      <w:r>
                        <w:instrText xml:space="preserve"> SEQ Figure \* ARABIC </w:instrText>
                      </w:r>
                      <w:r>
                        <w:fldChar w:fldCharType="separate"/>
                      </w:r>
                      <w:r w:rsidR="0095181E">
                        <w:rPr>
                          <w:noProof/>
                        </w:rPr>
                        <w:t>2</w:t>
                      </w:r>
                      <w:r>
                        <w:fldChar w:fldCharType="end"/>
                      </w:r>
                      <w:r>
                        <w:t>. Map of data collection</w:t>
                      </w:r>
                    </w:p>
                  </w:txbxContent>
                </v:textbox>
                <w10:wrap type="square"/>
              </v:shape>
            </w:pict>
          </mc:Fallback>
        </mc:AlternateContent>
      </w:r>
    </w:p>
    <w:p w14:paraId="4A29AD3C" w14:textId="16CB7F53" w:rsidR="00EA79BF" w:rsidRPr="00A3584E" w:rsidRDefault="00EA79BF" w:rsidP="00EA79BF">
      <w:pPr>
        <w:ind w:left="360" w:hanging="360"/>
        <w:jc w:val="both"/>
        <w:rPr>
          <w:b/>
          <w:bCs/>
          <w:sz w:val="22"/>
          <w:szCs w:val="22"/>
          <w:lang w:val="en-GB"/>
        </w:rPr>
      </w:pPr>
      <w:r w:rsidRPr="00A3584E">
        <w:rPr>
          <w:b/>
          <w:bCs/>
          <w:sz w:val="22"/>
          <w:szCs w:val="22"/>
          <w:lang w:val="en-GB"/>
        </w:rPr>
        <w:t>Data Collection Methods</w:t>
      </w:r>
    </w:p>
    <w:p w14:paraId="3BE7B668" w14:textId="77777777" w:rsidR="00EA79BF" w:rsidRPr="00C900FD" w:rsidRDefault="00EA79BF" w:rsidP="00EA79BF">
      <w:pPr>
        <w:jc w:val="both"/>
        <w:rPr>
          <w:b/>
          <w:bCs/>
          <w:color w:val="000000"/>
          <w:sz w:val="22"/>
          <w:szCs w:val="22"/>
          <w:lang w:val="en-GB"/>
        </w:rPr>
      </w:pPr>
      <w:r w:rsidRPr="007A5C5F">
        <w:rPr>
          <w:sz w:val="22"/>
          <w:szCs w:val="22"/>
          <w:lang w:val="en-GB"/>
        </w:rPr>
        <w:t xml:space="preserve">The evaluation team </w:t>
      </w:r>
      <w:r w:rsidRPr="007A5C5F">
        <w:rPr>
          <w:color w:val="000000"/>
          <w:sz w:val="22"/>
          <w:szCs w:val="22"/>
          <w:lang w:val="en-GB"/>
        </w:rPr>
        <w:t xml:space="preserve">collected all possible information from all related resources, </w:t>
      </w:r>
      <w:r>
        <w:rPr>
          <w:color w:val="000000"/>
          <w:sz w:val="22"/>
          <w:szCs w:val="22"/>
          <w:lang w:val="en-GB"/>
        </w:rPr>
        <w:t>analysed</w:t>
      </w:r>
      <w:r w:rsidRPr="007A5C5F">
        <w:rPr>
          <w:color w:val="000000"/>
          <w:sz w:val="22"/>
          <w:szCs w:val="22"/>
          <w:lang w:val="en-GB"/>
        </w:rPr>
        <w:t xml:space="preserve"> and </w:t>
      </w:r>
      <w:r>
        <w:rPr>
          <w:color w:val="000000"/>
          <w:sz w:val="22"/>
          <w:szCs w:val="22"/>
          <w:lang w:val="en-GB"/>
        </w:rPr>
        <w:t>used</w:t>
      </w:r>
      <w:r w:rsidRPr="007A5C5F">
        <w:rPr>
          <w:color w:val="000000"/>
          <w:sz w:val="22"/>
          <w:szCs w:val="22"/>
          <w:lang w:val="en-GB"/>
        </w:rPr>
        <w:t xml:space="preserve"> the primary and secondary information from relevant stakeholders by using mixed </w:t>
      </w:r>
      <w:r>
        <w:rPr>
          <w:color w:val="000000"/>
          <w:sz w:val="22"/>
          <w:szCs w:val="22"/>
          <w:lang w:val="en-GB"/>
        </w:rPr>
        <w:t>methods</w:t>
      </w:r>
      <w:r w:rsidRPr="007A5C5F">
        <w:rPr>
          <w:color w:val="000000"/>
          <w:sz w:val="22"/>
          <w:szCs w:val="22"/>
          <w:lang w:val="en-GB"/>
        </w:rPr>
        <w:t xml:space="preserve"> of qualitative and </w:t>
      </w:r>
      <w:r w:rsidRPr="007A5C5F">
        <w:rPr>
          <w:color w:val="000000"/>
          <w:sz w:val="22"/>
          <w:szCs w:val="22"/>
          <w:lang w:val="en-GB"/>
        </w:rPr>
        <w:lastRenderedPageBreak/>
        <w:t xml:space="preserve">quantitative methodologies by using the approved PRA tools- Key Informant Interviews, Focus Group Discussion&amp; Literature Review. </w:t>
      </w:r>
      <w:r w:rsidRPr="00C900FD">
        <w:rPr>
          <w:b/>
          <w:bCs/>
          <w:color w:val="000000"/>
          <w:sz w:val="22"/>
          <w:szCs w:val="22"/>
          <w:lang w:val="en-GB"/>
        </w:rPr>
        <w:t xml:space="preserve">Data collection for the evaluation commenced on 28 October and continued until 8 November, then resumed after the election and concluded at the end of November 2024. </w:t>
      </w:r>
    </w:p>
    <w:p w14:paraId="396C784B" w14:textId="7F2D1902" w:rsidR="00BB5E24" w:rsidRPr="007A5C5F" w:rsidRDefault="00EA79BF" w:rsidP="00EA79BF">
      <w:pPr>
        <w:jc w:val="both"/>
        <w:rPr>
          <w:color w:val="000000"/>
          <w:sz w:val="22"/>
          <w:szCs w:val="22"/>
          <w:lang w:val="en-GB"/>
        </w:rPr>
      </w:pPr>
      <w:r w:rsidRPr="007A5C5F">
        <w:rPr>
          <w:color w:val="000000"/>
          <w:sz w:val="22"/>
          <w:szCs w:val="22"/>
          <w:lang w:val="en-GB"/>
        </w:rPr>
        <w:t xml:space="preserve">The process of data collection covered a broad range of locations in Sri Lanka, including key sites such as </w:t>
      </w:r>
      <w:r w:rsidRPr="00C900FD">
        <w:rPr>
          <w:i/>
          <w:iCs/>
          <w:color w:val="000000"/>
          <w:sz w:val="22"/>
          <w:szCs w:val="22"/>
          <w:lang w:val="en-GB"/>
        </w:rPr>
        <w:t>Colombo, Galle, Matara, Jaffna, Batticaloa, Anuradhapura, Ratnapura, Kurunegala, Hatton, and Nuwara Eliya.</w:t>
      </w:r>
      <w:r w:rsidRPr="007A5C5F">
        <w:rPr>
          <w:color w:val="000000"/>
          <w:sz w:val="22"/>
          <w:szCs w:val="22"/>
          <w:lang w:val="en-GB"/>
        </w:rPr>
        <w:t xml:space="preserve"> The extensive geographic scope </w:t>
      </w:r>
      <w:r>
        <w:rPr>
          <w:color w:val="000000"/>
          <w:sz w:val="22"/>
          <w:szCs w:val="22"/>
          <w:lang w:val="en-GB"/>
        </w:rPr>
        <w:t xml:space="preserve">below </w:t>
      </w:r>
      <w:r w:rsidRPr="007A5C5F">
        <w:rPr>
          <w:color w:val="000000"/>
          <w:sz w:val="22"/>
          <w:szCs w:val="22"/>
          <w:lang w:val="en-GB"/>
        </w:rPr>
        <w:t>ensured a diverse and inclusive dataset, capturing insights from both urban and regional stakeholders</w:t>
      </w:r>
      <w:r w:rsidR="00BB5E24">
        <w:rPr>
          <w:color w:val="000000"/>
          <w:sz w:val="22"/>
          <w:szCs w:val="22"/>
          <w:lang w:val="en-GB"/>
        </w:rPr>
        <w:t>.</w:t>
      </w:r>
    </w:p>
    <w:p w14:paraId="0FF16D70" w14:textId="77777777" w:rsidR="00EA79BF" w:rsidRPr="007A5C5F" w:rsidRDefault="00EA79BF" w:rsidP="00EA79BF">
      <w:pPr>
        <w:jc w:val="both"/>
        <w:rPr>
          <w:color w:val="000000"/>
          <w:sz w:val="22"/>
          <w:szCs w:val="22"/>
          <w:lang w:val="en-GB"/>
        </w:rPr>
      </w:pPr>
    </w:p>
    <w:p w14:paraId="3C002666" w14:textId="77777777" w:rsidR="00EA79BF" w:rsidRDefault="00EA79BF" w:rsidP="00EA79BF">
      <w:pPr>
        <w:jc w:val="both"/>
        <w:rPr>
          <w:color w:val="000000"/>
          <w:sz w:val="22"/>
          <w:szCs w:val="22"/>
          <w:lang w:val="en-GB"/>
        </w:rPr>
      </w:pPr>
      <w:r w:rsidRPr="007A5C5F">
        <w:rPr>
          <w:color w:val="000000"/>
          <w:sz w:val="22"/>
          <w:szCs w:val="22"/>
          <w:lang w:val="en-GB"/>
        </w:rPr>
        <w:t xml:space="preserve">The data collection of the evaluation included the following organizations and departments:   Justice system, CSOs &amp; Academia, Law enforcement, GMO &amp; Legal Aid Commission, Women in Need and other related organizations, Victim and Witness protection authority, HRC, Prison and Probation Department, Project Implementing teams (UNICEF and UNDP) and Direct &amp; Indirect beneficiaries. The data collection included 36 </w:t>
      </w:r>
      <w:r>
        <w:rPr>
          <w:color w:val="000000"/>
          <w:sz w:val="22"/>
          <w:szCs w:val="22"/>
          <w:lang w:val="en-GB"/>
        </w:rPr>
        <w:t xml:space="preserve">FGD </w:t>
      </w:r>
      <w:r w:rsidRPr="007A5C5F">
        <w:rPr>
          <w:color w:val="000000"/>
          <w:sz w:val="22"/>
          <w:szCs w:val="22"/>
          <w:lang w:val="en-GB"/>
        </w:rPr>
        <w:t xml:space="preserve">activities and key informant interviews at national and regional levels. 102 people were </w:t>
      </w:r>
      <w:r>
        <w:rPr>
          <w:color w:val="000000"/>
          <w:sz w:val="22"/>
          <w:szCs w:val="22"/>
          <w:lang w:val="en-GB"/>
        </w:rPr>
        <w:t>involved</w:t>
      </w:r>
      <w:r w:rsidRPr="007A5C5F">
        <w:rPr>
          <w:color w:val="000000"/>
          <w:sz w:val="22"/>
          <w:szCs w:val="22"/>
          <w:lang w:val="en-GB"/>
        </w:rPr>
        <w:t xml:space="preserve"> in the data collection</w:t>
      </w:r>
      <w:r>
        <w:rPr>
          <w:color w:val="000000"/>
          <w:sz w:val="22"/>
          <w:szCs w:val="22"/>
          <w:lang w:val="en-GB"/>
        </w:rPr>
        <w:t>,</w:t>
      </w:r>
      <w:r w:rsidRPr="007A5C5F">
        <w:rPr>
          <w:color w:val="000000"/>
          <w:sz w:val="22"/>
          <w:szCs w:val="22"/>
          <w:lang w:val="en-GB"/>
        </w:rPr>
        <w:t xml:space="preserve"> included 75 females and 27 males</w:t>
      </w:r>
      <w:r>
        <w:rPr>
          <w:color w:val="000000"/>
          <w:sz w:val="22"/>
          <w:szCs w:val="22"/>
          <w:lang w:val="en-GB"/>
        </w:rPr>
        <w:t>,</w:t>
      </w:r>
      <w:r w:rsidRPr="007A5C5F">
        <w:rPr>
          <w:color w:val="000000"/>
          <w:sz w:val="22"/>
          <w:szCs w:val="22"/>
          <w:lang w:val="en-GB"/>
        </w:rPr>
        <w:t xml:space="preserve"> have participated in the midterm evaluation. </w:t>
      </w:r>
    </w:p>
    <w:p w14:paraId="6F10025C" w14:textId="77777777" w:rsidR="00EC302A" w:rsidRDefault="00EC302A" w:rsidP="00EA79BF">
      <w:pPr>
        <w:jc w:val="both"/>
        <w:rPr>
          <w:color w:val="000000"/>
          <w:sz w:val="22"/>
          <w:szCs w:val="22"/>
        </w:rPr>
      </w:pPr>
    </w:p>
    <w:p w14:paraId="77517F3A" w14:textId="013BD2BB" w:rsidR="00EC302A" w:rsidRPr="007A5C5F" w:rsidRDefault="00EC302A" w:rsidP="00EA79BF">
      <w:pPr>
        <w:jc w:val="both"/>
        <w:rPr>
          <w:color w:val="000000"/>
          <w:sz w:val="22"/>
          <w:szCs w:val="22"/>
          <w:lang w:val="en-GB"/>
        </w:rPr>
      </w:pPr>
      <w:r w:rsidRPr="00EC302A">
        <w:rPr>
          <w:color w:val="000000"/>
          <w:sz w:val="22"/>
          <w:szCs w:val="22"/>
        </w:rPr>
        <w:t>After completing the data collection phase, the evaluation team conducted two presentations on emerging and preliminary findings in December 2024.</w:t>
      </w:r>
    </w:p>
    <w:p w14:paraId="6CCDE02F" w14:textId="133438B5" w:rsidR="00EA79BF" w:rsidRPr="007A5C5F" w:rsidRDefault="00EA79BF" w:rsidP="00EA79BF">
      <w:pPr>
        <w:jc w:val="both"/>
        <w:rPr>
          <w:sz w:val="22"/>
          <w:szCs w:val="22"/>
          <w:lang w:val="en-GB"/>
        </w:rPr>
      </w:pPr>
    </w:p>
    <w:p w14:paraId="43ADDABA" w14:textId="6BA2D1D4" w:rsidR="00EA79BF" w:rsidRPr="00C900FD" w:rsidRDefault="00EC302A" w:rsidP="00C900FD">
      <w:pPr>
        <w:suppressAutoHyphens/>
        <w:autoSpaceDN w:val="0"/>
        <w:spacing w:after="160" w:line="256" w:lineRule="auto"/>
        <w:jc w:val="both"/>
        <w:rPr>
          <w:b/>
          <w:bCs/>
          <w:color w:val="ED7D31" w:themeColor="accent2"/>
        </w:rPr>
      </w:pPr>
      <w:r w:rsidRPr="00C900FD">
        <w:rPr>
          <w:b/>
          <w:bCs/>
          <w:color w:val="ED7D31" w:themeColor="accent2"/>
        </w:rPr>
        <w:t>Phase 3. Analysis, Validation and Report Writing</w:t>
      </w:r>
    </w:p>
    <w:p w14:paraId="7FACEB68" w14:textId="450EE26B" w:rsidR="00EA79BF" w:rsidRPr="00A3584E" w:rsidRDefault="00EA79BF" w:rsidP="00EA79BF">
      <w:pPr>
        <w:ind w:left="360" w:hanging="360"/>
        <w:jc w:val="both"/>
        <w:rPr>
          <w:b/>
          <w:bCs/>
          <w:sz w:val="22"/>
          <w:szCs w:val="22"/>
          <w:lang w:val="en-GB"/>
        </w:rPr>
      </w:pPr>
      <w:r w:rsidRPr="00A3584E">
        <w:rPr>
          <w:b/>
          <w:bCs/>
          <w:sz w:val="22"/>
          <w:szCs w:val="22"/>
          <w:lang w:val="en-GB"/>
        </w:rPr>
        <w:t>Data Analysis</w:t>
      </w:r>
    </w:p>
    <w:p w14:paraId="27CFECD1" w14:textId="321C94FB" w:rsidR="00EA79BF" w:rsidRPr="00A3584E" w:rsidRDefault="00EA79BF" w:rsidP="00EA79BF">
      <w:pPr>
        <w:ind w:left="360" w:hanging="360"/>
        <w:jc w:val="both"/>
        <w:rPr>
          <w:sz w:val="22"/>
          <w:szCs w:val="22"/>
          <w:lang w:val="en-GB"/>
        </w:rPr>
      </w:pPr>
      <w:r w:rsidRPr="00A3584E">
        <w:rPr>
          <w:sz w:val="22"/>
          <w:szCs w:val="22"/>
          <w:lang w:val="en-GB"/>
        </w:rPr>
        <w:t>The data were analysed using a triangulation approach to enhance the validity and reliability of the findings. The evaluation integrated both qualitative and quantitative data, ensuring that conclusions were based on multiple sources.</w:t>
      </w:r>
    </w:p>
    <w:p w14:paraId="6EBCE776" w14:textId="77777777" w:rsidR="00EA79BF" w:rsidRPr="00A3584E" w:rsidRDefault="00EA79BF" w:rsidP="00EA79BF">
      <w:pPr>
        <w:numPr>
          <w:ilvl w:val="0"/>
          <w:numId w:val="272"/>
        </w:numPr>
        <w:jc w:val="both"/>
        <w:rPr>
          <w:sz w:val="22"/>
          <w:szCs w:val="22"/>
          <w:lang w:val="en-GB"/>
        </w:rPr>
      </w:pPr>
      <w:r w:rsidRPr="00A3584E">
        <w:rPr>
          <w:b/>
          <w:bCs/>
          <w:sz w:val="22"/>
          <w:szCs w:val="22"/>
          <w:lang w:val="en-GB"/>
        </w:rPr>
        <w:t>Qualitative Analysis:</w:t>
      </w:r>
      <w:r w:rsidRPr="00A3584E">
        <w:rPr>
          <w:sz w:val="22"/>
          <w:szCs w:val="22"/>
          <w:lang w:val="en-GB"/>
        </w:rPr>
        <w:t xml:space="preserve"> Thematic analysis was applied to interpret qualitative data from interviews and FGDs. This helped identify patterns, recurring themes, and critical areas where the project had achieved or fallen short of its intended objectives.</w:t>
      </w:r>
    </w:p>
    <w:p w14:paraId="60089C64" w14:textId="77777777" w:rsidR="00EA79BF" w:rsidRPr="00A3584E" w:rsidRDefault="00EA79BF" w:rsidP="00EA79BF">
      <w:pPr>
        <w:numPr>
          <w:ilvl w:val="0"/>
          <w:numId w:val="272"/>
        </w:numPr>
        <w:jc w:val="both"/>
        <w:rPr>
          <w:sz w:val="22"/>
          <w:szCs w:val="22"/>
          <w:lang w:val="en-GB"/>
        </w:rPr>
      </w:pPr>
      <w:r w:rsidRPr="00A3584E">
        <w:rPr>
          <w:b/>
          <w:bCs/>
          <w:sz w:val="22"/>
          <w:szCs w:val="22"/>
          <w:lang w:val="en-GB"/>
        </w:rPr>
        <w:t>Quantitative Analysis:</w:t>
      </w:r>
      <w:r w:rsidRPr="00A3584E">
        <w:rPr>
          <w:sz w:val="22"/>
          <w:szCs w:val="22"/>
          <w:lang w:val="en-GB"/>
        </w:rPr>
        <w:t xml:space="preserve"> Descriptive statistics were used to analyse survey data and available secondary quantitative data. Indicators from the project’s Results Framework were reviewed to assess progress toward planned outputs and outcomes.</w:t>
      </w:r>
    </w:p>
    <w:p w14:paraId="4564925A" w14:textId="77777777" w:rsidR="00EA79BF" w:rsidRPr="00A3584E" w:rsidRDefault="00EA79BF" w:rsidP="00EA79BF">
      <w:pPr>
        <w:ind w:left="360" w:hanging="360"/>
        <w:jc w:val="both"/>
        <w:rPr>
          <w:b/>
          <w:bCs/>
          <w:sz w:val="22"/>
          <w:szCs w:val="22"/>
          <w:lang w:val="en-GB"/>
        </w:rPr>
      </w:pPr>
      <w:r w:rsidRPr="00A3584E">
        <w:rPr>
          <w:b/>
          <w:bCs/>
          <w:sz w:val="22"/>
          <w:szCs w:val="22"/>
          <w:lang w:val="en-GB"/>
        </w:rPr>
        <w:t>Cross-Cutting Analysis</w:t>
      </w:r>
    </w:p>
    <w:p w14:paraId="3E4F615C" w14:textId="77777777" w:rsidR="00EA79BF" w:rsidRPr="00A3584E" w:rsidRDefault="00EA79BF" w:rsidP="00EA79BF">
      <w:pPr>
        <w:ind w:left="360" w:hanging="360"/>
        <w:jc w:val="both"/>
        <w:rPr>
          <w:sz w:val="22"/>
          <w:szCs w:val="22"/>
          <w:lang w:val="en-GB"/>
        </w:rPr>
      </w:pPr>
      <w:r w:rsidRPr="00A3584E">
        <w:rPr>
          <w:sz w:val="22"/>
          <w:szCs w:val="22"/>
          <w:lang w:val="en-GB"/>
        </w:rPr>
        <w:t>The evaluation paid special attention to the following cross-cutting issues:</w:t>
      </w:r>
    </w:p>
    <w:p w14:paraId="0656D806" w14:textId="77777777" w:rsidR="00EA79BF" w:rsidRPr="00A3584E" w:rsidRDefault="00EA79BF" w:rsidP="00EA79BF">
      <w:pPr>
        <w:numPr>
          <w:ilvl w:val="0"/>
          <w:numId w:val="273"/>
        </w:numPr>
        <w:jc w:val="both"/>
        <w:rPr>
          <w:sz w:val="22"/>
          <w:szCs w:val="22"/>
          <w:lang w:val="en-GB"/>
        </w:rPr>
      </w:pPr>
      <w:r w:rsidRPr="00A3584E">
        <w:rPr>
          <w:b/>
          <w:bCs/>
          <w:sz w:val="22"/>
          <w:szCs w:val="22"/>
          <w:lang w:val="en-GB"/>
        </w:rPr>
        <w:t>Gender Equality:</w:t>
      </w:r>
      <w:r w:rsidRPr="00A3584E">
        <w:rPr>
          <w:sz w:val="22"/>
          <w:szCs w:val="22"/>
          <w:lang w:val="en-GB"/>
        </w:rPr>
        <w:t xml:space="preserve"> The extent to which gender perspectives were integrated into the project’s design and implementation was assessed, particularly through the </w:t>
      </w:r>
      <w:r w:rsidRPr="007A5C5F">
        <w:rPr>
          <w:sz w:val="22"/>
          <w:szCs w:val="22"/>
          <w:lang w:val="en-GB"/>
        </w:rPr>
        <w:t xml:space="preserve">JURE’s </w:t>
      </w:r>
      <w:r w:rsidRPr="00A3584E">
        <w:rPr>
          <w:sz w:val="22"/>
          <w:szCs w:val="22"/>
          <w:lang w:val="en-GB"/>
        </w:rPr>
        <w:t>Gender Action Plan</w:t>
      </w:r>
      <w:r w:rsidRPr="007A5C5F">
        <w:rPr>
          <w:sz w:val="22"/>
          <w:szCs w:val="22"/>
          <w:lang w:val="en-GB"/>
        </w:rPr>
        <w:t xml:space="preserve"> progress</w:t>
      </w:r>
      <w:r w:rsidRPr="00A3584E">
        <w:rPr>
          <w:sz w:val="22"/>
          <w:szCs w:val="22"/>
          <w:lang w:val="en-GB"/>
        </w:rPr>
        <w:t>.</w:t>
      </w:r>
    </w:p>
    <w:p w14:paraId="4CAA0A3D" w14:textId="77777777" w:rsidR="00EA79BF" w:rsidRPr="00A3584E" w:rsidRDefault="00EA79BF" w:rsidP="00EA79BF">
      <w:pPr>
        <w:numPr>
          <w:ilvl w:val="0"/>
          <w:numId w:val="273"/>
        </w:numPr>
        <w:jc w:val="both"/>
        <w:rPr>
          <w:sz w:val="22"/>
          <w:szCs w:val="22"/>
          <w:lang w:val="en-GB"/>
        </w:rPr>
      </w:pPr>
      <w:r w:rsidRPr="00A3584E">
        <w:rPr>
          <w:b/>
          <w:bCs/>
          <w:sz w:val="22"/>
          <w:szCs w:val="22"/>
          <w:lang w:val="en-GB"/>
        </w:rPr>
        <w:t>Human Rights-Based Approach:</w:t>
      </w:r>
      <w:r w:rsidRPr="00A3584E">
        <w:rPr>
          <w:sz w:val="22"/>
          <w:szCs w:val="22"/>
          <w:lang w:val="en-GB"/>
        </w:rPr>
        <w:t xml:space="preserve"> The evaluation examined how well the project adhered to human rights principles and promoted inclusivity, particularly for vulnerable and marginalized groups.</w:t>
      </w:r>
    </w:p>
    <w:p w14:paraId="32579882" w14:textId="77777777" w:rsidR="00EA79BF" w:rsidRPr="00A3584E" w:rsidRDefault="00EA79BF" w:rsidP="00EA79BF">
      <w:pPr>
        <w:numPr>
          <w:ilvl w:val="0"/>
          <w:numId w:val="273"/>
        </w:numPr>
        <w:jc w:val="both"/>
        <w:rPr>
          <w:sz w:val="22"/>
          <w:szCs w:val="22"/>
          <w:lang w:val="en-GB"/>
        </w:rPr>
      </w:pPr>
      <w:r w:rsidRPr="00A3584E">
        <w:rPr>
          <w:b/>
          <w:bCs/>
          <w:sz w:val="22"/>
          <w:szCs w:val="22"/>
          <w:lang w:val="en-GB"/>
        </w:rPr>
        <w:t>Disability Inclusion:</w:t>
      </w:r>
      <w:r w:rsidRPr="00A3584E">
        <w:rPr>
          <w:sz w:val="22"/>
          <w:szCs w:val="22"/>
          <w:lang w:val="en-GB"/>
        </w:rPr>
        <w:t xml:space="preserve"> The assessment also considered how the project addressed the needs of persons with disabilities within the justice system.</w:t>
      </w:r>
    </w:p>
    <w:p w14:paraId="65827E9A" w14:textId="77777777" w:rsidR="00EA79BF" w:rsidRPr="00A3584E" w:rsidRDefault="00EA79BF" w:rsidP="00EA79BF">
      <w:pPr>
        <w:ind w:left="360" w:hanging="360"/>
        <w:jc w:val="both"/>
        <w:rPr>
          <w:b/>
          <w:bCs/>
          <w:sz w:val="22"/>
          <w:szCs w:val="22"/>
          <w:lang w:val="en-GB"/>
        </w:rPr>
      </w:pPr>
      <w:r w:rsidRPr="00A3584E">
        <w:rPr>
          <w:b/>
          <w:bCs/>
          <w:sz w:val="22"/>
          <w:szCs w:val="22"/>
          <w:lang w:val="en-GB"/>
        </w:rPr>
        <w:t>Triangulation of Findings</w:t>
      </w:r>
    </w:p>
    <w:p w14:paraId="5A3FCFCE" w14:textId="77777777" w:rsidR="00EA79BF" w:rsidRPr="00A3584E" w:rsidRDefault="00EA79BF" w:rsidP="00EA79BF">
      <w:pPr>
        <w:ind w:left="360" w:hanging="360"/>
        <w:jc w:val="both"/>
        <w:rPr>
          <w:sz w:val="22"/>
          <w:szCs w:val="22"/>
          <w:lang w:val="en-GB"/>
        </w:rPr>
      </w:pPr>
      <w:r w:rsidRPr="00A3584E">
        <w:rPr>
          <w:sz w:val="22"/>
          <w:szCs w:val="22"/>
          <w:lang w:val="en-GB"/>
        </w:rPr>
        <w:t>All collected data were triangulated to validate findings and ensure that recommendations were based on strong evidence. Any discrepancies or inconsistencies in data were closely examined to ensure accurate interpretation. The evaluation team applied multiple triangulation methods:</w:t>
      </w:r>
    </w:p>
    <w:p w14:paraId="5D140752" w14:textId="77777777" w:rsidR="00EA79BF" w:rsidRPr="00A3584E" w:rsidRDefault="00EA79BF" w:rsidP="00EA79BF">
      <w:pPr>
        <w:numPr>
          <w:ilvl w:val="0"/>
          <w:numId w:val="274"/>
        </w:numPr>
        <w:jc w:val="both"/>
        <w:rPr>
          <w:sz w:val="22"/>
          <w:szCs w:val="22"/>
          <w:lang w:val="en-GB"/>
        </w:rPr>
      </w:pPr>
      <w:r w:rsidRPr="00A3584E">
        <w:rPr>
          <w:b/>
          <w:bCs/>
          <w:sz w:val="22"/>
          <w:szCs w:val="22"/>
          <w:lang w:val="en-GB"/>
        </w:rPr>
        <w:t>Data Source Triangulation:</w:t>
      </w:r>
      <w:r w:rsidRPr="00A3584E">
        <w:rPr>
          <w:sz w:val="22"/>
          <w:szCs w:val="22"/>
          <w:lang w:val="en-GB"/>
        </w:rPr>
        <w:t xml:space="preserve"> Data from different stakeholder groups (direct beneficiaries, partner institutions, CSOs) were compared to identify consistent patterns or discrepancies.</w:t>
      </w:r>
    </w:p>
    <w:p w14:paraId="6469CDCC" w14:textId="77777777" w:rsidR="00EA79BF" w:rsidRPr="00A3584E" w:rsidRDefault="00EA79BF" w:rsidP="00EA79BF">
      <w:pPr>
        <w:numPr>
          <w:ilvl w:val="0"/>
          <w:numId w:val="274"/>
        </w:numPr>
        <w:jc w:val="both"/>
        <w:rPr>
          <w:sz w:val="22"/>
          <w:szCs w:val="22"/>
          <w:lang w:val="en-GB"/>
        </w:rPr>
      </w:pPr>
      <w:r w:rsidRPr="00A3584E">
        <w:rPr>
          <w:b/>
          <w:bCs/>
          <w:sz w:val="22"/>
          <w:szCs w:val="22"/>
          <w:lang w:val="en-GB"/>
        </w:rPr>
        <w:t>Methodological Triangulation:</w:t>
      </w:r>
      <w:r w:rsidRPr="00A3584E">
        <w:rPr>
          <w:sz w:val="22"/>
          <w:szCs w:val="22"/>
          <w:lang w:val="en-GB"/>
        </w:rPr>
        <w:t xml:space="preserve"> Findings from different data collection methods (interviews, FGDs, document review) were cross-checked to validate the results. For example, KIIs on access to justice were compared with qualitative feedback from FGDs.</w:t>
      </w:r>
    </w:p>
    <w:p w14:paraId="4A08F25C" w14:textId="77777777" w:rsidR="00EA79BF" w:rsidRPr="00A3584E" w:rsidRDefault="00EA79BF" w:rsidP="00EA79BF">
      <w:pPr>
        <w:numPr>
          <w:ilvl w:val="0"/>
          <w:numId w:val="274"/>
        </w:numPr>
        <w:jc w:val="both"/>
        <w:rPr>
          <w:sz w:val="22"/>
          <w:szCs w:val="22"/>
          <w:lang w:val="en-GB"/>
        </w:rPr>
      </w:pPr>
      <w:r w:rsidRPr="00A3584E">
        <w:rPr>
          <w:b/>
          <w:bCs/>
          <w:sz w:val="22"/>
          <w:szCs w:val="22"/>
          <w:lang w:val="en-GB"/>
        </w:rPr>
        <w:t>Theory Triangulation:</w:t>
      </w:r>
      <w:r w:rsidRPr="00A3584E">
        <w:rPr>
          <w:sz w:val="22"/>
          <w:szCs w:val="22"/>
          <w:lang w:val="en-GB"/>
        </w:rPr>
        <w:t xml:space="preserve"> Multiple theoretical perspectives (e.g., governance, human rights, gender equality) were applied to interpret findings, ensuring a comprehensive evaluation of the project's impact.</w:t>
      </w:r>
    </w:p>
    <w:p w14:paraId="430CF66E" w14:textId="2BC742CF" w:rsidR="00BB5E24" w:rsidRDefault="00EA79BF" w:rsidP="00EC302A">
      <w:pPr>
        <w:ind w:left="360" w:hanging="360"/>
        <w:jc w:val="both"/>
        <w:rPr>
          <w:sz w:val="22"/>
          <w:szCs w:val="22"/>
          <w:lang w:val="en-GB"/>
        </w:rPr>
      </w:pPr>
      <w:r w:rsidRPr="00A3584E">
        <w:rPr>
          <w:sz w:val="22"/>
          <w:szCs w:val="22"/>
          <w:lang w:val="en-GB"/>
        </w:rPr>
        <w:t>This methodological approach ensured that the evaluation was rigorous, inclusive, and evidence-based, providing a comprehensive assessment of the JURE project’s achievements and areas for improvement.</w:t>
      </w:r>
    </w:p>
    <w:p w14:paraId="3360C119" w14:textId="77777777" w:rsidR="00EA79BF" w:rsidRPr="007A5C5F" w:rsidRDefault="00EA79BF" w:rsidP="00EA79BF">
      <w:pPr>
        <w:pStyle w:val="Heading3"/>
        <w:jc w:val="both"/>
        <w:rPr>
          <w:rFonts w:ascii="Times New Roman" w:eastAsia="Times New Roman" w:hAnsi="Times New Roman" w:cs="Times New Roman"/>
          <w:sz w:val="22"/>
          <w:szCs w:val="22"/>
          <w:lang w:val="en-GB"/>
        </w:rPr>
      </w:pPr>
      <w:r w:rsidRPr="007A5C5F">
        <w:rPr>
          <w:rFonts w:ascii="Times New Roman" w:eastAsia="Times New Roman" w:hAnsi="Times New Roman" w:cs="Times New Roman"/>
          <w:sz w:val="22"/>
          <w:szCs w:val="22"/>
          <w:lang w:val="en-GB"/>
        </w:rPr>
        <w:t xml:space="preserve">Analyses of the revised JURE’s Result Framework. </w:t>
      </w:r>
    </w:p>
    <w:p w14:paraId="21DCA0A5" w14:textId="77777777" w:rsidR="00EA79BF" w:rsidRPr="007A5C5F" w:rsidRDefault="00EA79BF" w:rsidP="00EA79BF">
      <w:pPr>
        <w:rPr>
          <w:lang w:val="en-GB"/>
        </w:rPr>
      </w:pPr>
    </w:p>
    <w:p w14:paraId="280B9523" w14:textId="77777777" w:rsidR="00EA79BF" w:rsidRPr="007A5C5F" w:rsidRDefault="00EA79BF" w:rsidP="00EA79BF">
      <w:pPr>
        <w:jc w:val="both"/>
        <w:rPr>
          <w:sz w:val="22"/>
          <w:szCs w:val="22"/>
          <w:lang w:val="en-GB"/>
        </w:rPr>
      </w:pPr>
      <w:r w:rsidRPr="007A5C5F">
        <w:rPr>
          <w:sz w:val="22"/>
          <w:szCs w:val="22"/>
          <w:lang w:val="en-GB"/>
        </w:rPr>
        <w:lastRenderedPageBreak/>
        <w:t xml:space="preserve">The JURE’s Result Framework was revised </w:t>
      </w:r>
      <w:r>
        <w:rPr>
          <w:sz w:val="22"/>
          <w:szCs w:val="22"/>
          <w:lang w:val="en-GB"/>
        </w:rPr>
        <w:t xml:space="preserve">several </w:t>
      </w:r>
      <w:r w:rsidRPr="007A5C5F">
        <w:rPr>
          <w:sz w:val="22"/>
          <w:szCs w:val="22"/>
          <w:lang w:val="en-GB"/>
        </w:rPr>
        <w:t>times. In December 2024, the Logframe was revised for the last time. The present Results Framework contains a total of 36 indicators covering impact, outcomes, and outputs. However, a detailed assessment reveals that none of these indicators fully meet the SMART (Specific, Measurable, Achievable, Relevant, and Time-bound) criteria. This indicates a need for refinement to ensure that they effectively track progress and outcomes. Our analyses are provided hereunder.</w:t>
      </w:r>
    </w:p>
    <w:p w14:paraId="5F652639" w14:textId="77777777" w:rsidR="00EA79BF" w:rsidRPr="007A5C5F" w:rsidRDefault="00EA79BF" w:rsidP="00EA79BF">
      <w:pPr>
        <w:jc w:val="both"/>
        <w:rPr>
          <w:sz w:val="22"/>
          <w:szCs w:val="22"/>
          <w:lang w:val="en-GB"/>
        </w:rPr>
      </w:pPr>
    </w:p>
    <w:tbl>
      <w:tblPr>
        <w:tblStyle w:val="GridTable4-Accent2"/>
        <w:tblW w:w="9634" w:type="dxa"/>
        <w:tblLook w:val="04A0" w:firstRow="1" w:lastRow="0" w:firstColumn="1" w:lastColumn="0" w:noHBand="0" w:noVBand="1"/>
      </w:tblPr>
      <w:tblGrid>
        <w:gridCol w:w="1720"/>
        <w:gridCol w:w="4284"/>
        <w:gridCol w:w="3630"/>
      </w:tblGrid>
      <w:tr w:rsidR="00EA79BF" w:rsidRPr="007A5C5F" w14:paraId="56C7606D" w14:textId="77777777" w:rsidTr="00EC30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0" w:type="dxa"/>
          </w:tcPr>
          <w:p w14:paraId="46782FA0" w14:textId="77777777" w:rsidR="00EA79BF" w:rsidRPr="009D22EB" w:rsidRDefault="00EA79BF" w:rsidP="00EE71C7">
            <w:pPr>
              <w:jc w:val="center"/>
              <w:rPr>
                <w:sz w:val="20"/>
                <w:szCs w:val="20"/>
                <w:lang w:val="en-GB"/>
              </w:rPr>
            </w:pPr>
            <w:r w:rsidRPr="009D22EB">
              <w:rPr>
                <w:sz w:val="20"/>
                <w:szCs w:val="20"/>
                <w:lang w:val="en-GB"/>
              </w:rPr>
              <w:t>Category</w:t>
            </w:r>
          </w:p>
        </w:tc>
        <w:tc>
          <w:tcPr>
            <w:tcW w:w="4284" w:type="dxa"/>
          </w:tcPr>
          <w:p w14:paraId="0BC7DB94" w14:textId="77777777" w:rsidR="00EA79BF" w:rsidRPr="009D22EB" w:rsidRDefault="00EA79BF" w:rsidP="00EE71C7">
            <w:pPr>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Identified Weaknesses</w:t>
            </w:r>
          </w:p>
        </w:tc>
        <w:tc>
          <w:tcPr>
            <w:tcW w:w="3630" w:type="dxa"/>
          </w:tcPr>
          <w:p w14:paraId="0D3F7710" w14:textId="77777777" w:rsidR="00EA79BF" w:rsidRPr="009D22EB" w:rsidRDefault="00EA79BF" w:rsidP="00EE71C7">
            <w:pPr>
              <w:jc w:val="center"/>
              <w:cnfStyle w:val="100000000000" w:firstRow="1"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Areas for Improvement</w:t>
            </w:r>
          </w:p>
        </w:tc>
      </w:tr>
      <w:tr w:rsidR="00EA79BF" w:rsidRPr="007A5C5F" w14:paraId="7C022EE3" w14:textId="77777777" w:rsidTr="00EC3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0" w:type="dxa"/>
          </w:tcPr>
          <w:p w14:paraId="39CB179B" w14:textId="77777777" w:rsidR="00EA79BF" w:rsidRPr="009D22EB" w:rsidRDefault="00EA79BF" w:rsidP="00EE71C7">
            <w:pPr>
              <w:rPr>
                <w:sz w:val="20"/>
                <w:szCs w:val="20"/>
                <w:lang w:val="en-GB"/>
              </w:rPr>
            </w:pPr>
            <w:r w:rsidRPr="009D22EB">
              <w:rPr>
                <w:sz w:val="20"/>
                <w:szCs w:val="20"/>
                <w:lang w:val="en-GB"/>
              </w:rPr>
              <w:t>Logical Coherence</w:t>
            </w:r>
          </w:p>
        </w:tc>
        <w:tc>
          <w:tcPr>
            <w:tcW w:w="4284" w:type="dxa"/>
          </w:tcPr>
          <w:p w14:paraId="3F555F43" w14:textId="77777777" w:rsidR="00EA79BF" w:rsidRPr="009D22EB" w:rsidRDefault="00EA79BF" w:rsidP="00EE71C7">
            <w:pPr>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Inconsistent linkages between activities, outputs, and outcomes. Some indicators measure activities rather than results. Example: 'Number of training sessions conducted' (output) does not track whether training led to improved legal practice (outcome).</w:t>
            </w:r>
          </w:p>
        </w:tc>
        <w:tc>
          <w:tcPr>
            <w:tcW w:w="3630" w:type="dxa"/>
          </w:tcPr>
          <w:p w14:paraId="493471E5" w14:textId="77777777" w:rsidR="00EA79BF" w:rsidRPr="009D22EB" w:rsidRDefault="00EA79BF" w:rsidP="00C900FD">
            <w:pPr>
              <w:jc w:val="both"/>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Strengthen causal logic. Ensure each output directly leads to an outcome and links activities to a broader impact. Example: Instead of counting training sessions, measure 'Percentage of trained judges applying new legal knowledge in rulings.'</w:t>
            </w:r>
          </w:p>
        </w:tc>
      </w:tr>
      <w:tr w:rsidR="00EA79BF" w:rsidRPr="007A5C5F" w14:paraId="5F0B8215" w14:textId="77777777" w:rsidTr="00EC302A">
        <w:tc>
          <w:tcPr>
            <w:cnfStyle w:val="001000000000" w:firstRow="0" w:lastRow="0" w:firstColumn="1" w:lastColumn="0" w:oddVBand="0" w:evenVBand="0" w:oddHBand="0" w:evenHBand="0" w:firstRowFirstColumn="0" w:firstRowLastColumn="0" w:lastRowFirstColumn="0" w:lastRowLastColumn="0"/>
            <w:tcW w:w="1720" w:type="dxa"/>
          </w:tcPr>
          <w:p w14:paraId="7ACDAC5A" w14:textId="77777777" w:rsidR="00EA79BF" w:rsidRPr="009D22EB" w:rsidRDefault="00EA79BF" w:rsidP="00EE71C7">
            <w:pPr>
              <w:rPr>
                <w:sz w:val="20"/>
                <w:szCs w:val="20"/>
                <w:lang w:val="en-GB"/>
              </w:rPr>
            </w:pPr>
            <w:r w:rsidRPr="009D22EB">
              <w:rPr>
                <w:sz w:val="20"/>
                <w:szCs w:val="20"/>
                <w:lang w:val="en-GB"/>
              </w:rPr>
              <w:t>Change Language</w:t>
            </w:r>
          </w:p>
        </w:tc>
        <w:tc>
          <w:tcPr>
            <w:tcW w:w="4284" w:type="dxa"/>
          </w:tcPr>
          <w:p w14:paraId="3F59FC7F" w14:textId="77777777" w:rsidR="00EA79BF" w:rsidRPr="009D22EB" w:rsidRDefault="00EA79BF" w:rsidP="00EE71C7">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Outcome statements lack specificity and do not clearly define expected transformations. Example: 'Improved efficiency of the justice system' is vague without defining what 'efficiency' entails.</w:t>
            </w:r>
          </w:p>
        </w:tc>
        <w:tc>
          <w:tcPr>
            <w:tcW w:w="3630" w:type="dxa"/>
          </w:tcPr>
          <w:p w14:paraId="7A385B17" w14:textId="77777777" w:rsidR="00EA79BF" w:rsidRPr="009D22EB" w:rsidRDefault="00EA79BF" w:rsidP="00C900FD">
            <w:pPr>
              <w:jc w:val="both"/>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Use explicit change-oriented language. Example: 'Judges apply new legal knowledge in court rulings' instead of 'Judges trained.'</w:t>
            </w:r>
          </w:p>
        </w:tc>
      </w:tr>
      <w:tr w:rsidR="00EA79BF" w:rsidRPr="007A5C5F" w14:paraId="70382181" w14:textId="77777777" w:rsidTr="00EC3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0" w:type="dxa"/>
          </w:tcPr>
          <w:p w14:paraId="578A3BDD" w14:textId="77777777" w:rsidR="00EA79BF" w:rsidRPr="009D22EB" w:rsidRDefault="00EA79BF" w:rsidP="00EE71C7">
            <w:pPr>
              <w:rPr>
                <w:sz w:val="20"/>
                <w:szCs w:val="20"/>
                <w:lang w:val="en-GB"/>
              </w:rPr>
            </w:pPr>
            <w:r w:rsidRPr="009D22EB">
              <w:rPr>
                <w:sz w:val="20"/>
                <w:szCs w:val="20"/>
                <w:lang w:val="en-GB"/>
              </w:rPr>
              <w:t>Assumptions</w:t>
            </w:r>
          </w:p>
        </w:tc>
        <w:tc>
          <w:tcPr>
            <w:tcW w:w="4284" w:type="dxa"/>
          </w:tcPr>
          <w:p w14:paraId="6D277E20" w14:textId="77777777" w:rsidR="00EA79BF" w:rsidRPr="009D22EB" w:rsidRDefault="00EA79BF" w:rsidP="00EE71C7">
            <w:pPr>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The project document does not list explicit assumptions, making it difficult to assess risks or external dependencies. Example: No assumption is stated about political stability or institutional cooperation.</w:t>
            </w:r>
          </w:p>
        </w:tc>
        <w:tc>
          <w:tcPr>
            <w:tcW w:w="3630" w:type="dxa"/>
          </w:tcPr>
          <w:p w14:paraId="1F1E8099" w14:textId="77777777" w:rsidR="00EA79BF" w:rsidRPr="009D22EB" w:rsidRDefault="00EA79BF" w:rsidP="00C900FD">
            <w:pPr>
              <w:jc w:val="both"/>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List key assumptions related to policy stability, institutional support, and political will to manage external risks. Example: 'Government maintains commitment to legal aid reforms.'</w:t>
            </w:r>
          </w:p>
        </w:tc>
      </w:tr>
      <w:tr w:rsidR="00EA79BF" w:rsidRPr="007A5C5F" w14:paraId="0C996150" w14:textId="77777777" w:rsidTr="00EC302A">
        <w:tc>
          <w:tcPr>
            <w:cnfStyle w:val="001000000000" w:firstRow="0" w:lastRow="0" w:firstColumn="1" w:lastColumn="0" w:oddVBand="0" w:evenVBand="0" w:oddHBand="0" w:evenHBand="0" w:firstRowFirstColumn="0" w:firstRowLastColumn="0" w:lastRowFirstColumn="0" w:lastRowLastColumn="0"/>
            <w:tcW w:w="1720" w:type="dxa"/>
          </w:tcPr>
          <w:p w14:paraId="346A4D59" w14:textId="77777777" w:rsidR="00EA79BF" w:rsidRPr="009D22EB" w:rsidRDefault="00EA79BF" w:rsidP="00EE71C7">
            <w:pPr>
              <w:rPr>
                <w:sz w:val="20"/>
                <w:szCs w:val="20"/>
                <w:lang w:val="en-GB"/>
              </w:rPr>
            </w:pPr>
            <w:r w:rsidRPr="009D22EB">
              <w:rPr>
                <w:sz w:val="20"/>
                <w:szCs w:val="20"/>
                <w:lang w:val="en-GB"/>
              </w:rPr>
              <w:t>Timeframe Realism</w:t>
            </w:r>
          </w:p>
        </w:tc>
        <w:tc>
          <w:tcPr>
            <w:tcW w:w="4284" w:type="dxa"/>
          </w:tcPr>
          <w:p w14:paraId="6D260FFE" w14:textId="77777777" w:rsidR="00EA79BF" w:rsidRPr="009D22EB" w:rsidRDefault="00EA79BF" w:rsidP="00EE71C7">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Some legislative and institutional reforms are expected in 2-3 years, which may not align with standard policy cycles. Example: Legal reforms often require at least 5 years, but some targets aim for completion in 2 years.</w:t>
            </w:r>
          </w:p>
        </w:tc>
        <w:tc>
          <w:tcPr>
            <w:tcW w:w="3630" w:type="dxa"/>
          </w:tcPr>
          <w:p w14:paraId="68407A1C" w14:textId="77777777" w:rsidR="00EA79BF" w:rsidRPr="009D22EB" w:rsidRDefault="00EA79BF" w:rsidP="00C900FD">
            <w:pPr>
              <w:jc w:val="both"/>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Align timeframes with standard legal and institutional reform processes. Example: Consider 5-year cycles for major policy adoption.</w:t>
            </w:r>
          </w:p>
        </w:tc>
      </w:tr>
      <w:tr w:rsidR="00EA79BF" w:rsidRPr="007A5C5F" w14:paraId="4BE52841" w14:textId="77777777" w:rsidTr="00EC3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0" w:type="dxa"/>
          </w:tcPr>
          <w:p w14:paraId="7336E512" w14:textId="77777777" w:rsidR="00EA79BF" w:rsidRPr="009D22EB" w:rsidRDefault="00EA79BF" w:rsidP="00EE71C7">
            <w:pPr>
              <w:rPr>
                <w:sz w:val="20"/>
                <w:szCs w:val="20"/>
                <w:lang w:val="en-GB"/>
              </w:rPr>
            </w:pPr>
            <w:r w:rsidRPr="009D22EB">
              <w:rPr>
                <w:sz w:val="20"/>
                <w:szCs w:val="20"/>
                <w:lang w:val="en-GB"/>
              </w:rPr>
              <w:t>Indicator Clarity</w:t>
            </w:r>
          </w:p>
        </w:tc>
        <w:tc>
          <w:tcPr>
            <w:tcW w:w="4284" w:type="dxa"/>
          </w:tcPr>
          <w:p w14:paraId="1BFEC76C" w14:textId="77777777" w:rsidR="00EA79BF" w:rsidRPr="009D22EB" w:rsidRDefault="00EA79BF" w:rsidP="00EE71C7">
            <w:pPr>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Some indicators mix outputs and outcomes; and lack clarity in measuring systemic improvements. Example: 'Number of institutions adopting minimum standards' (output) should be separate from 'Percentage of institutions effectively implementing standards' (outcome).</w:t>
            </w:r>
          </w:p>
        </w:tc>
        <w:tc>
          <w:tcPr>
            <w:tcW w:w="3630" w:type="dxa"/>
          </w:tcPr>
          <w:p w14:paraId="183532A8" w14:textId="77777777" w:rsidR="00EA79BF" w:rsidRPr="009D22EB" w:rsidRDefault="00EA79BF" w:rsidP="00C900FD">
            <w:pPr>
              <w:jc w:val="both"/>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Ensure a clear distinction between output and outcome indicators.</w:t>
            </w:r>
          </w:p>
        </w:tc>
      </w:tr>
      <w:tr w:rsidR="00EA79BF" w:rsidRPr="007A5C5F" w14:paraId="463A2E52" w14:textId="77777777" w:rsidTr="00EC302A">
        <w:tc>
          <w:tcPr>
            <w:cnfStyle w:val="001000000000" w:firstRow="0" w:lastRow="0" w:firstColumn="1" w:lastColumn="0" w:oddVBand="0" w:evenVBand="0" w:oddHBand="0" w:evenHBand="0" w:firstRowFirstColumn="0" w:firstRowLastColumn="0" w:lastRowFirstColumn="0" w:lastRowLastColumn="0"/>
            <w:tcW w:w="1720" w:type="dxa"/>
          </w:tcPr>
          <w:p w14:paraId="31461B8F" w14:textId="77777777" w:rsidR="00EA79BF" w:rsidRPr="009D22EB" w:rsidRDefault="00EA79BF" w:rsidP="00EE71C7">
            <w:pPr>
              <w:rPr>
                <w:sz w:val="20"/>
                <w:szCs w:val="20"/>
                <w:lang w:val="en-GB"/>
              </w:rPr>
            </w:pPr>
            <w:r w:rsidRPr="009D22EB">
              <w:rPr>
                <w:sz w:val="20"/>
                <w:szCs w:val="20"/>
                <w:lang w:val="en-GB"/>
              </w:rPr>
              <w:t>Baseline Data Availability</w:t>
            </w:r>
          </w:p>
        </w:tc>
        <w:tc>
          <w:tcPr>
            <w:tcW w:w="4284" w:type="dxa"/>
          </w:tcPr>
          <w:p w14:paraId="699BFD89" w14:textId="77777777" w:rsidR="00EA79BF" w:rsidRPr="009D22EB" w:rsidRDefault="00EA79BF" w:rsidP="00EE71C7">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Several key indicators lack baseline data, making progress assessment difficult. Example: Public trust in the judiciary indicator has no initial measurement.</w:t>
            </w:r>
          </w:p>
        </w:tc>
        <w:tc>
          <w:tcPr>
            <w:tcW w:w="3630" w:type="dxa"/>
          </w:tcPr>
          <w:p w14:paraId="205A60A4" w14:textId="77777777" w:rsidR="00EA79BF" w:rsidRPr="009D22EB" w:rsidRDefault="00EA79BF" w:rsidP="00C900FD">
            <w:pPr>
              <w:jc w:val="both"/>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Establish and validate baseline data before tracking progress. Example: Conduct a baseline survey on public trust before setting improvement targets.</w:t>
            </w:r>
          </w:p>
        </w:tc>
      </w:tr>
      <w:tr w:rsidR="00EA79BF" w:rsidRPr="007A5C5F" w14:paraId="17366DEC" w14:textId="77777777" w:rsidTr="00EC3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0" w:type="dxa"/>
          </w:tcPr>
          <w:p w14:paraId="410FE937" w14:textId="77777777" w:rsidR="00EA79BF" w:rsidRPr="009D22EB" w:rsidRDefault="00EA79BF" w:rsidP="00EE71C7">
            <w:pPr>
              <w:rPr>
                <w:sz w:val="20"/>
                <w:szCs w:val="20"/>
                <w:lang w:val="en-GB"/>
              </w:rPr>
            </w:pPr>
            <w:r w:rsidRPr="009D22EB">
              <w:rPr>
                <w:sz w:val="20"/>
                <w:szCs w:val="20"/>
                <w:lang w:val="en-GB"/>
              </w:rPr>
              <w:t>Gender &amp; Vulnerability Disaggregation</w:t>
            </w:r>
          </w:p>
        </w:tc>
        <w:tc>
          <w:tcPr>
            <w:tcW w:w="4284" w:type="dxa"/>
          </w:tcPr>
          <w:p w14:paraId="1A72AC43" w14:textId="77777777" w:rsidR="00EA79BF" w:rsidRPr="009D22EB" w:rsidRDefault="00EA79BF" w:rsidP="00C900FD">
            <w:pPr>
              <w:jc w:val="both"/>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Indicators do not consistently track differences by gender, age, disability, or economic status. Example: Legal aid provision is measured in total numbers but not by the proportion of women or marginalized groups benefiting.</w:t>
            </w:r>
          </w:p>
        </w:tc>
        <w:tc>
          <w:tcPr>
            <w:tcW w:w="3630" w:type="dxa"/>
          </w:tcPr>
          <w:p w14:paraId="3C47528B" w14:textId="77777777" w:rsidR="00EA79BF" w:rsidRPr="009D22EB" w:rsidRDefault="00EA79BF" w:rsidP="00C900FD">
            <w:pPr>
              <w:jc w:val="both"/>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Make gender and vulnerability data disaggregation mandatory. Example: 'Percentage of legal aid beneficiaries who are women or from marginalized communities.'</w:t>
            </w:r>
          </w:p>
        </w:tc>
      </w:tr>
      <w:tr w:rsidR="00EA79BF" w:rsidRPr="007A5C5F" w14:paraId="2AA2369F" w14:textId="77777777" w:rsidTr="00EC302A">
        <w:tc>
          <w:tcPr>
            <w:cnfStyle w:val="001000000000" w:firstRow="0" w:lastRow="0" w:firstColumn="1" w:lastColumn="0" w:oddVBand="0" w:evenVBand="0" w:oddHBand="0" w:evenHBand="0" w:firstRowFirstColumn="0" w:firstRowLastColumn="0" w:lastRowFirstColumn="0" w:lastRowLastColumn="0"/>
            <w:tcW w:w="1720" w:type="dxa"/>
          </w:tcPr>
          <w:p w14:paraId="1E23BEE5" w14:textId="77777777" w:rsidR="00EA79BF" w:rsidRPr="009D22EB" w:rsidRDefault="00EA79BF" w:rsidP="00EE71C7">
            <w:pPr>
              <w:rPr>
                <w:sz w:val="20"/>
                <w:szCs w:val="20"/>
                <w:lang w:val="en-GB"/>
              </w:rPr>
            </w:pPr>
            <w:r w:rsidRPr="009D22EB">
              <w:rPr>
                <w:sz w:val="20"/>
                <w:szCs w:val="20"/>
                <w:lang w:val="en-GB"/>
              </w:rPr>
              <w:t>Perception Surveys</w:t>
            </w:r>
          </w:p>
        </w:tc>
        <w:tc>
          <w:tcPr>
            <w:tcW w:w="4284" w:type="dxa"/>
          </w:tcPr>
          <w:p w14:paraId="5C5F0798" w14:textId="77777777" w:rsidR="00EA79BF" w:rsidRPr="009D22EB" w:rsidRDefault="00EA79BF" w:rsidP="00EE71C7">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No clear methodology for surveys, including sample size, frequency, or methodology. Example: Trust in justice system surveys lack clarity on how they will be conducted.</w:t>
            </w:r>
          </w:p>
        </w:tc>
        <w:tc>
          <w:tcPr>
            <w:tcW w:w="3630" w:type="dxa"/>
          </w:tcPr>
          <w:p w14:paraId="44B33918" w14:textId="77777777" w:rsidR="00EA79BF" w:rsidRPr="009D22EB" w:rsidRDefault="00EA79BF" w:rsidP="00C900FD">
            <w:pPr>
              <w:jc w:val="both"/>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Define survey methodologies clearly. Example: Specify sample size, data collection method, and timing for each perception survey.</w:t>
            </w:r>
          </w:p>
        </w:tc>
      </w:tr>
      <w:tr w:rsidR="00EA79BF" w:rsidRPr="007A5C5F" w14:paraId="024A3C9E" w14:textId="77777777" w:rsidTr="00EC3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0" w:type="dxa"/>
          </w:tcPr>
          <w:p w14:paraId="2C1630A1" w14:textId="77777777" w:rsidR="00EA79BF" w:rsidRPr="009D22EB" w:rsidRDefault="00EA79BF" w:rsidP="00EE71C7">
            <w:pPr>
              <w:rPr>
                <w:sz w:val="20"/>
                <w:szCs w:val="20"/>
                <w:lang w:val="en-GB"/>
              </w:rPr>
            </w:pPr>
            <w:r w:rsidRPr="009D22EB">
              <w:rPr>
                <w:sz w:val="20"/>
                <w:szCs w:val="20"/>
                <w:lang w:val="en-GB"/>
              </w:rPr>
              <w:t>Real-Time Data Tracking</w:t>
            </w:r>
          </w:p>
        </w:tc>
        <w:tc>
          <w:tcPr>
            <w:tcW w:w="4284" w:type="dxa"/>
          </w:tcPr>
          <w:p w14:paraId="6A54532C" w14:textId="77777777" w:rsidR="00EA79BF" w:rsidRPr="009D22EB" w:rsidRDefault="00EA79BF" w:rsidP="00EE71C7">
            <w:pPr>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Heavy reliance on government reports without independent verification mechanisms. Example: Ministry of Justice data is used without cross-verifying through case records or independent audits.</w:t>
            </w:r>
          </w:p>
        </w:tc>
        <w:tc>
          <w:tcPr>
            <w:tcW w:w="3630" w:type="dxa"/>
          </w:tcPr>
          <w:p w14:paraId="4007B226" w14:textId="77777777" w:rsidR="00EA79BF" w:rsidRPr="009D22EB" w:rsidRDefault="00EA79BF" w:rsidP="00C900FD">
            <w:pPr>
              <w:jc w:val="both"/>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Introduce third-party validation mechanisms. Example: Cross-verify Ministry of Justice data with independent case tracking or audits.</w:t>
            </w:r>
          </w:p>
        </w:tc>
      </w:tr>
      <w:tr w:rsidR="00EA79BF" w:rsidRPr="007A5C5F" w14:paraId="458312E4" w14:textId="77777777" w:rsidTr="00EC302A">
        <w:tc>
          <w:tcPr>
            <w:cnfStyle w:val="001000000000" w:firstRow="0" w:lastRow="0" w:firstColumn="1" w:lastColumn="0" w:oddVBand="0" w:evenVBand="0" w:oddHBand="0" w:evenHBand="0" w:firstRowFirstColumn="0" w:firstRowLastColumn="0" w:lastRowFirstColumn="0" w:lastRowLastColumn="0"/>
            <w:tcW w:w="1720" w:type="dxa"/>
          </w:tcPr>
          <w:p w14:paraId="75042095" w14:textId="77777777" w:rsidR="00EA79BF" w:rsidRPr="009D22EB" w:rsidRDefault="00EA79BF" w:rsidP="00EE71C7">
            <w:pPr>
              <w:rPr>
                <w:sz w:val="20"/>
                <w:szCs w:val="20"/>
                <w:lang w:val="en-GB"/>
              </w:rPr>
            </w:pPr>
            <w:r w:rsidRPr="009D22EB">
              <w:rPr>
                <w:sz w:val="20"/>
                <w:szCs w:val="20"/>
                <w:lang w:val="en-GB"/>
              </w:rPr>
              <w:t>Digital Transformation Indicators</w:t>
            </w:r>
          </w:p>
        </w:tc>
        <w:tc>
          <w:tcPr>
            <w:tcW w:w="4284" w:type="dxa"/>
          </w:tcPr>
          <w:p w14:paraId="3A62F442" w14:textId="77777777" w:rsidR="00EA79BF" w:rsidRPr="009D22EB" w:rsidRDefault="00EA79BF" w:rsidP="00EE71C7">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No indicators tracking the adoption or efficiency of digital justice tools. Example: Digital platforms are being developed, but no metrics track their usage or impact.</w:t>
            </w:r>
          </w:p>
        </w:tc>
        <w:tc>
          <w:tcPr>
            <w:tcW w:w="3630" w:type="dxa"/>
          </w:tcPr>
          <w:p w14:paraId="014169C3" w14:textId="77777777" w:rsidR="00EA79BF" w:rsidRPr="009D22EB" w:rsidRDefault="00EA79BF" w:rsidP="00C900FD">
            <w:pPr>
              <w:jc w:val="both"/>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Create indicators measuring digital tool adoption. Example: 'Percentage of cases filed electronically' as a measure of digital system effectiveness.</w:t>
            </w:r>
          </w:p>
        </w:tc>
      </w:tr>
      <w:tr w:rsidR="00EA79BF" w:rsidRPr="007A5C5F" w14:paraId="10D66BD9" w14:textId="77777777" w:rsidTr="00EC3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0" w:type="dxa"/>
          </w:tcPr>
          <w:p w14:paraId="50787F62" w14:textId="77777777" w:rsidR="00EA79BF" w:rsidRPr="009D22EB" w:rsidRDefault="00EA79BF" w:rsidP="00EE71C7">
            <w:pPr>
              <w:rPr>
                <w:sz w:val="20"/>
                <w:szCs w:val="20"/>
                <w:lang w:val="en-GB"/>
              </w:rPr>
            </w:pPr>
            <w:r w:rsidRPr="009D22EB">
              <w:rPr>
                <w:sz w:val="20"/>
                <w:szCs w:val="20"/>
                <w:lang w:val="en-GB"/>
              </w:rPr>
              <w:t>Legal Aid Provision Indicators are static</w:t>
            </w:r>
          </w:p>
        </w:tc>
        <w:tc>
          <w:tcPr>
            <w:tcW w:w="4284" w:type="dxa"/>
          </w:tcPr>
          <w:p w14:paraId="39BBADA4" w14:textId="77777777" w:rsidR="00EA79BF" w:rsidRPr="009D22EB" w:rsidRDefault="00EA79BF" w:rsidP="00EE71C7">
            <w:pPr>
              <w:suppressAutoHyphens/>
              <w:cnfStyle w:val="000000100000" w:firstRow="0" w:lastRow="0" w:firstColumn="0" w:lastColumn="0" w:oddVBand="0" w:evenVBand="0" w:oddHBand="1" w:evenHBand="0" w:firstRowFirstColumn="0" w:firstRowLastColumn="0" w:lastRowFirstColumn="0" w:lastRowLastColumn="0"/>
              <w:rPr>
                <w:rFonts w:eastAsiaTheme="minorHAnsi"/>
                <w:kern w:val="2"/>
                <w:sz w:val="20"/>
                <w:szCs w:val="20"/>
                <w:lang w:val="en-GB"/>
                <w14:ligatures w14:val="standardContextual"/>
              </w:rPr>
            </w:pPr>
            <w:r w:rsidRPr="009D22EB">
              <w:rPr>
                <w:sz w:val="20"/>
                <w:szCs w:val="20"/>
                <w:lang w:val="en-GB"/>
              </w:rPr>
              <w:t xml:space="preserve">Focuses on service numbers but does not track quality or effectiveness. Example: Measuring only the 'Number of people receiving legal aid' does </w:t>
            </w:r>
            <w:r w:rsidRPr="009D22EB">
              <w:rPr>
                <w:sz w:val="20"/>
                <w:szCs w:val="20"/>
                <w:lang w:val="en-GB"/>
              </w:rPr>
              <w:lastRenderedPageBreak/>
              <w:t xml:space="preserve">not indicate if cases were resolved successfully. </w:t>
            </w:r>
            <w:r w:rsidRPr="009D22EB">
              <w:rPr>
                <w:rFonts w:eastAsiaTheme="minorHAnsi"/>
                <w:kern w:val="2"/>
                <w:sz w:val="20"/>
                <w:szCs w:val="20"/>
                <w:lang w:val="en-GB"/>
                <w14:ligatures w14:val="standardContextual"/>
              </w:rPr>
              <w:t xml:space="preserve">There are </w:t>
            </w:r>
            <w:r w:rsidRPr="009D22EB">
              <w:rPr>
                <w:rFonts w:eastAsiaTheme="minorHAnsi"/>
                <w:b/>
                <w:bCs/>
                <w:kern w:val="2"/>
                <w:sz w:val="20"/>
                <w:szCs w:val="20"/>
                <w:lang w:val="en-GB"/>
                <w14:ligatures w14:val="standardContextual"/>
              </w:rPr>
              <w:t>no indicators measuring</w:t>
            </w:r>
            <w:r w:rsidRPr="009D22EB">
              <w:rPr>
                <w:rFonts w:eastAsiaTheme="minorHAnsi"/>
                <w:kern w:val="2"/>
                <w:sz w:val="20"/>
                <w:szCs w:val="20"/>
                <w:lang w:val="en-GB"/>
                <w14:ligatures w14:val="standardContextual"/>
              </w:rPr>
              <w:t>:</w:t>
            </w:r>
          </w:p>
          <w:p w14:paraId="70013AA7" w14:textId="77777777" w:rsidR="00EA79BF" w:rsidRPr="009D22EB" w:rsidRDefault="00EA79BF" w:rsidP="00EA79BF">
            <w:pPr>
              <w:numPr>
                <w:ilvl w:val="0"/>
                <w:numId w:val="278"/>
              </w:numPr>
              <w:tabs>
                <w:tab w:val="num" w:pos="720"/>
              </w:tabs>
              <w:suppressAutoHyphens/>
              <w:cnfStyle w:val="000000100000" w:firstRow="0" w:lastRow="0" w:firstColumn="0" w:lastColumn="0" w:oddVBand="0" w:evenVBand="0" w:oddHBand="1" w:evenHBand="0" w:firstRowFirstColumn="0" w:firstRowLastColumn="0" w:lastRowFirstColumn="0" w:lastRowLastColumn="0"/>
              <w:rPr>
                <w:rFonts w:eastAsiaTheme="minorHAnsi"/>
                <w:kern w:val="2"/>
                <w:sz w:val="20"/>
                <w:szCs w:val="20"/>
                <w:lang w:val="en-GB"/>
                <w14:ligatures w14:val="standardContextual"/>
              </w:rPr>
            </w:pPr>
            <w:r w:rsidRPr="009D22EB">
              <w:rPr>
                <w:rFonts w:eastAsiaTheme="minorHAnsi"/>
                <w:b/>
                <w:bCs/>
                <w:kern w:val="2"/>
                <w:sz w:val="20"/>
                <w:szCs w:val="20"/>
                <w:lang w:val="en-GB"/>
                <w14:ligatures w14:val="standardContextual"/>
              </w:rPr>
              <w:t>Satisfaction levels</w:t>
            </w:r>
            <w:r w:rsidRPr="009D22EB">
              <w:rPr>
                <w:rFonts w:eastAsiaTheme="minorHAnsi"/>
                <w:kern w:val="2"/>
                <w:sz w:val="20"/>
                <w:szCs w:val="20"/>
                <w:lang w:val="en-GB"/>
                <w14:ligatures w14:val="standardContextual"/>
              </w:rPr>
              <w:t xml:space="preserve"> of beneficiaries.</w:t>
            </w:r>
          </w:p>
          <w:p w14:paraId="7A33FCD8" w14:textId="77777777" w:rsidR="00EA79BF" w:rsidRPr="009D22EB" w:rsidRDefault="00EA79BF" w:rsidP="00EA79BF">
            <w:pPr>
              <w:numPr>
                <w:ilvl w:val="0"/>
                <w:numId w:val="278"/>
              </w:numPr>
              <w:tabs>
                <w:tab w:val="num" w:pos="720"/>
              </w:tabs>
              <w:suppressAutoHyphens/>
              <w:cnfStyle w:val="000000100000" w:firstRow="0" w:lastRow="0" w:firstColumn="0" w:lastColumn="0" w:oddVBand="0" w:evenVBand="0" w:oddHBand="1" w:evenHBand="0" w:firstRowFirstColumn="0" w:firstRowLastColumn="0" w:lastRowFirstColumn="0" w:lastRowLastColumn="0"/>
              <w:rPr>
                <w:rFonts w:eastAsiaTheme="minorHAnsi"/>
                <w:kern w:val="2"/>
                <w:sz w:val="20"/>
                <w:szCs w:val="20"/>
                <w:lang w:val="en-GB"/>
                <w14:ligatures w14:val="standardContextual"/>
              </w:rPr>
            </w:pPr>
            <w:r w:rsidRPr="009D22EB">
              <w:rPr>
                <w:rFonts w:eastAsiaTheme="minorHAnsi"/>
                <w:b/>
                <w:bCs/>
                <w:kern w:val="2"/>
                <w:sz w:val="20"/>
                <w:szCs w:val="20"/>
                <w:lang w:val="en-GB"/>
                <w14:ligatures w14:val="standardContextual"/>
              </w:rPr>
              <w:t>Effectiveness of legal aid in securing justice outcomes</w:t>
            </w:r>
            <w:r w:rsidRPr="009D22EB">
              <w:rPr>
                <w:rFonts w:eastAsiaTheme="minorHAnsi"/>
                <w:kern w:val="2"/>
                <w:sz w:val="20"/>
                <w:szCs w:val="20"/>
                <w:lang w:val="en-GB"/>
                <w14:ligatures w14:val="standardContextual"/>
              </w:rPr>
              <w:t>.</w:t>
            </w:r>
          </w:p>
          <w:p w14:paraId="0D9DE3CE" w14:textId="18312EF7" w:rsidR="00EA79BF" w:rsidRPr="009D22EB" w:rsidRDefault="00EA79BF" w:rsidP="00C900FD">
            <w:pPr>
              <w:numPr>
                <w:ilvl w:val="0"/>
                <w:numId w:val="278"/>
              </w:numPr>
              <w:tabs>
                <w:tab w:val="num" w:pos="720"/>
              </w:tabs>
              <w:suppressAutoHyphens/>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rFonts w:eastAsiaTheme="minorHAnsi"/>
                <w:b/>
                <w:bCs/>
                <w:kern w:val="2"/>
                <w:sz w:val="20"/>
                <w:szCs w:val="20"/>
                <w:lang w:val="en-GB"/>
                <w14:ligatures w14:val="standardContextual"/>
              </w:rPr>
              <w:t>Follow-up on whether legal aid recipients successfully resolved their cases</w:t>
            </w:r>
            <w:r w:rsidRPr="009D22EB">
              <w:rPr>
                <w:rFonts w:eastAsiaTheme="minorHAnsi"/>
                <w:kern w:val="2"/>
                <w:sz w:val="20"/>
                <w:szCs w:val="20"/>
                <w:lang w:val="en-GB"/>
                <w14:ligatures w14:val="standardContextual"/>
              </w:rPr>
              <w:t>.</w:t>
            </w:r>
          </w:p>
        </w:tc>
        <w:tc>
          <w:tcPr>
            <w:tcW w:w="3630" w:type="dxa"/>
          </w:tcPr>
          <w:p w14:paraId="7D390DE1" w14:textId="77777777" w:rsidR="00EA79BF" w:rsidRPr="009D22EB" w:rsidRDefault="00EA79BF" w:rsidP="00C900FD">
            <w:pPr>
              <w:jc w:val="both"/>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lastRenderedPageBreak/>
              <w:t>Include qualitative indicators on legal aid effectiveness. Example: 'Percentage of beneficiaries reporting positive case outcomes.'</w:t>
            </w:r>
          </w:p>
        </w:tc>
      </w:tr>
      <w:tr w:rsidR="00EA79BF" w:rsidRPr="007A5C5F" w14:paraId="395EC6AA" w14:textId="77777777" w:rsidTr="00EC302A">
        <w:tc>
          <w:tcPr>
            <w:cnfStyle w:val="001000000000" w:firstRow="0" w:lastRow="0" w:firstColumn="1" w:lastColumn="0" w:oddVBand="0" w:evenVBand="0" w:oddHBand="0" w:evenHBand="0" w:firstRowFirstColumn="0" w:firstRowLastColumn="0" w:lastRowFirstColumn="0" w:lastRowLastColumn="0"/>
            <w:tcW w:w="1720" w:type="dxa"/>
          </w:tcPr>
          <w:p w14:paraId="0CF42818" w14:textId="77777777" w:rsidR="00EA79BF" w:rsidRPr="009D22EB" w:rsidRDefault="00EA79BF" w:rsidP="00EE71C7">
            <w:pPr>
              <w:rPr>
                <w:sz w:val="20"/>
                <w:szCs w:val="20"/>
                <w:lang w:val="en-GB"/>
              </w:rPr>
            </w:pPr>
            <w:r w:rsidRPr="009D22EB">
              <w:rPr>
                <w:sz w:val="20"/>
                <w:szCs w:val="20"/>
                <w:lang w:val="en-GB"/>
              </w:rPr>
              <w:t>Target Setting</w:t>
            </w:r>
          </w:p>
        </w:tc>
        <w:tc>
          <w:tcPr>
            <w:tcW w:w="4284" w:type="dxa"/>
          </w:tcPr>
          <w:p w14:paraId="0DB2E668" w14:textId="77777777" w:rsidR="00EA79BF" w:rsidRPr="009D22EB" w:rsidRDefault="00EA79BF" w:rsidP="00EE71C7">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Some targets appear arbitrary and not justified based on past trends or demand. Example: A 3% annual increase in legal aid cases without reference to actual demand.</w:t>
            </w:r>
          </w:p>
          <w:p w14:paraId="233DD469" w14:textId="77777777" w:rsidR="00EA79BF" w:rsidRPr="009D22EB" w:rsidRDefault="00EA79BF" w:rsidP="00EE71C7">
            <w:pPr>
              <w:suppressAutoHyphens/>
              <w:cnfStyle w:val="000000000000" w:firstRow="0" w:lastRow="0" w:firstColumn="0" w:lastColumn="0" w:oddVBand="0" w:evenVBand="0" w:oddHBand="0" w:evenHBand="0" w:firstRowFirstColumn="0" w:firstRowLastColumn="0" w:lastRowFirstColumn="0" w:lastRowLastColumn="0"/>
              <w:rPr>
                <w:rFonts w:eastAsiaTheme="minorHAnsi"/>
                <w:kern w:val="2"/>
                <w:sz w:val="20"/>
                <w:szCs w:val="20"/>
                <w:lang w:val="en-GB"/>
                <w14:ligatures w14:val="standardContextual"/>
              </w:rPr>
            </w:pPr>
            <w:r w:rsidRPr="009D22EB">
              <w:rPr>
                <w:rFonts w:eastAsiaTheme="minorHAnsi"/>
                <w:b/>
                <w:bCs/>
                <w:kern w:val="2"/>
                <w:sz w:val="20"/>
                <w:szCs w:val="20"/>
                <w:lang w:val="en-GB"/>
                <w14:ligatures w14:val="standardContextual"/>
              </w:rPr>
              <w:t>Ambitious yet vague targets</w:t>
            </w:r>
            <w:r w:rsidRPr="009D22EB">
              <w:rPr>
                <w:rFonts w:eastAsiaTheme="minorHAnsi"/>
                <w:kern w:val="2"/>
                <w:sz w:val="20"/>
                <w:szCs w:val="20"/>
                <w:lang w:val="en-GB"/>
                <w14:ligatures w14:val="standardContextual"/>
              </w:rPr>
              <w:t>:</w:t>
            </w:r>
          </w:p>
          <w:p w14:paraId="160A9591" w14:textId="77777777" w:rsidR="00EA79BF" w:rsidRPr="009D22EB" w:rsidRDefault="00EA79BF" w:rsidP="00EA79BF">
            <w:pPr>
              <w:numPr>
                <w:ilvl w:val="1"/>
                <w:numId w:val="279"/>
              </w:numPr>
              <w:tabs>
                <w:tab w:val="num" w:pos="1440"/>
              </w:tabs>
              <w:suppressAutoHyphens/>
              <w:cnfStyle w:val="000000000000" w:firstRow="0" w:lastRow="0" w:firstColumn="0" w:lastColumn="0" w:oddVBand="0" w:evenVBand="0" w:oddHBand="0" w:evenHBand="0" w:firstRowFirstColumn="0" w:firstRowLastColumn="0" w:lastRowFirstColumn="0" w:lastRowLastColumn="0"/>
              <w:rPr>
                <w:rFonts w:eastAsiaTheme="minorHAnsi"/>
                <w:kern w:val="2"/>
                <w:sz w:val="20"/>
                <w:szCs w:val="20"/>
                <w:lang w:val="en-GB"/>
                <w14:ligatures w14:val="standardContextual"/>
              </w:rPr>
            </w:pPr>
            <w:r w:rsidRPr="009D22EB">
              <w:rPr>
                <w:rFonts w:eastAsiaTheme="minorHAnsi"/>
                <w:kern w:val="2"/>
                <w:sz w:val="20"/>
                <w:szCs w:val="20"/>
                <w:lang w:val="en-GB"/>
                <w14:ligatures w14:val="standardContextual"/>
              </w:rPr>
              <w:t xml:space="preserve">Some targets are set arbitrarily (e.g., "3% annual increase in legal aid provision") </w:t>
            </w:r>
            <w:r w:rsidRPr="009D22EB">
              <w:rPr>
                <w:rFonts w:eastAsiaTheme="minorHAnsi"/>
                <w:b/>
                <w:bCs/>
                <w:kern w:val="2"/>
                <w:sz w:val="20"/>
                <w:szCs w:val="20"/>
                <w:lang w:val="en-GB"/>
                <w14:ligatures w14:val="standardContextual"/>
              </w:rPr>
              <w:t>without justification based on demand, available resources, or past trends</w:t>
            </w:r>
            <w:r w:rsidRPr="009D22EB">
              <w:rPr>
                <w:rFonts w:eastAsiaTheme="minorHAnsi"/>
                <w:kern w:val="2"/>
                <w:sz w:val="20"/>
                <w:szCs w:val="20"/>
                <w:lang w:val="en-GB"/>
                <w14:ligatures w14:val="standardContextual"/>
              </w:rPr>
              <w:t>.</w:t>
            </w:r>
          </w:p>
          <w:p w14:paraId="5CA0182F" w14:textId="31E388B5" w:rsidR="00EA79BF" w:rsidRPr="009D22EB" w:rsidRDefault="00EA79BF" w:rsidP="00C900FD">
            <w:pPr>
              <w:numPr>
                <w:ilvl w:val="1"/>
                <w:numId w:val="279"/>
              </w:numPr>
              <w:tabs>
                <w:tab w:val="num" w:pos="1440"/>
              </w:tabs>
              <w:suppressAutoHyphens/>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rFonts w:eastAsiaTheme="minorHAnsi"/>
                <w:kern w:val="2"/>
                <w:sz w:val="20"/>
                <w:szCs w:val="20"/>
                <w:lang w:val="en-GB"/>
                <w14:ligatures w14:val="standardContextual"/>
              </w:rPr>
              <w:t xml:space="preserve">The </w:t>
            </w:r>
            <w:r w:rsidRPr="009D22EB">
              <w:rPr>
                <w:rFonts w:eastAsiaTheme="minorHAnsi"/>
                <w:b/>
                <w:bCs/>
                <w:kern w:val="2"/>
                <w:sz w:val="20"/>
                <w:szCs w:val="20"/>
                <w:lang w:val="en-GB"/>
                <w14:ligatures w14:val="standardContextual"/>
              </w:rPr>
              <w:t>Rule of Law score target (Impact Indicator 2.0)</w:t>
            </w:r>
            <w:r w:rsidRPr="009D22EB">
              <w:rPr>
                <w:rFonts w:eastAsiaTheme="minorHAnsi"/>
                <w:kern w:val="2"/>
                <w:sz w:val="20"/>
                <w:szCs w:val="20"/>
                <w:lang w:val="en-GB"/>
                <w14:ligatures w14:val="standardContextual"/>
              </w:rPr>
              <w:t xml:space="preserve"> is based on the </w:t>
            </w:r>
            <w:r w:rsidRPr="009D22EB">
              <w:rPr>
                <w:rFonts w:eastAsiaTheme="minorHAnsi"/>
                <w:b/>
                <w:bCs/>
                <w:kern w:val="2"/>
                <w:sz w:val="20"/>
                <w:szCs w:val="20"/>
                <w:lang w:val="en-GB"/>
                <w14:ligatures w14:val="standardContextual"/>
              </w:rPr>
              <w:t>World Bank’s Worldwide Governance Indicators (WGI)</w:t>
            </w:r>
            <w:r w:rsidRPr="009D22EB">
              <w:rPr>
                <w:rFonts w:eastAsiaTheme="minorHAnsi"/>
                <w:kern w:val="2"/>
                <w:sz w:val="20"/>
                <w:szCs w:val="20"/>
                <w:lang w:val="en-GB"/>
                <w14:ligatures w14:val="standardContextual"/>
              </w:rPr>
              <w:t xml:space="preserve">, which are composite measures influenced by multiple external factors </w:t>
            </w:r>
            <w:r w:rsidRPr="009D22EB">
              <w:rPr>
                <w:rFonts w:eastAsiaTheme="minorHAnsi"/>
                <w:b/>
                <w:bCs/>
                <w:kern w:val="2"/>
                <w:sz w:val="20"/>
                <w:szCs w:val="20"/>
                <w:lang w:val="en-GB"/>
                <w14:ligatures w14:val="standardContextual"/>
              </w:rPr>
              <w:t>beyond project control</w:t>
            </w:r>
            <w:r w:rsidRPr="009D22EB">
              <w:rPr>
                <w:rFonts w:eastAsiaTheme="minorHAnsi"/>
                <w:kern w:val="2"/>
                <w:sz w:val="20"/>
                <w:szCs w:val="20"/>
                <w:lang w:val="en-GB"/>
                <w14:ligatures w14:val="standardContextual"/>
              </w:rPr>
              <w:t>. There is no explanation for why a 5-point increase is expected.</w:t>
            </w:r>
          </w:p>
        </w:tc>
        <w:tc>
          <w:tcPr>
            <w:tcW w:w="3630" w:type="dxa"/>
          </w:tcPr>
          <w:p w14:paraId="04CCA190" w14:textId="77777777" w:rsidR="00EA79BF" w:rsidRPr="009D22EB" w:rsidRDefault="00EA79BF" w:rsidP="00EE71C7">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Base targets on historical trends or needs assessments. Example: Adjust legal aid targets based on past case demand rather than fixed percentage increases.</w:t>
            </w:r>
          </w:p>
        </w:tc>
      </w:tr>
      <w:tr w:rsidR="00EA79BF" w:rsidRPr="007A5C5F" w14:paraId="2FE504AD" w14:textId="77777777" w:rsidTr="00EC3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0" w:type="dxa"/>
          </w:tcPr>
          <w:p w14:paraId="03F827D3" w14:textId="77777777" w:rsidR="00EA79BF" w:rsidRPr="009D22EB" w:rsidRDefault="00EA79BF" w:rsidP="00EE71C7">
            <w:pPr>
              <w:suppressAutoHyphens/>
              <w:rPr>
                <w:rFonts w:eastAsiaTheme="minorHAnsi"/>
                <w:kern w:val="2"/>
                <w:sz w:val="20"/>
                <w:szCs w:val="20"/>
                <w:lang w:val="en-GB"/>
                <w14:ligatures w14:val="standardContextual"/>
              </w:rPr>
            </w:pPr>
            <w:r w:rsidRPr="009D22EB">
              <w:rPr>
                <w:rFonts w:eastAsiaTheme="minorHAnsi"/>
                <w:kern w:val="2"/>
                <w:sz w:val="20"/>
                <w:szCs w:val="20"/>
                <w:lang w:val="en-GB"/>
                <w14:ligatures w14:val="standardContextual"/>
              </w:rPr>
              <w:t>Lack of interim milestones for institutional reforms:</w:t>
            </w:r>
          </w:p>
          <w:p w14:paraId="621C88BD" w14:textId="77777777" w:rsidR="00EA79BF" w:rsidRPr="009D22EB" w:rsidRDefault="00EA79BF" w:rsidP="00EE71C7">
            <w:pPr>
              <w:rPr>
                <w:sz w:val="20"/>
                <w:szCs w:val="20"/>
                <w:lang w:val="en-GB"/>
              </w:rPr>
            </w:pPr>
          </w:p>
        </w:tc>
        <w:tc>
          <w:tcPr>
            <w:tcW w:w="4284" w:type="dxa"/>
          </w:tcPr>
          <w:p w14:paraId="7BB6B89C" w14:textId="77777777" w:rsidR="00EA79BF" w:rsidRPr="009D22EB" w:rsidRDefault="00EA79BF" w:rsidP="00EE71C7">
            <w:pPr>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rFonts w:eastAsiaTheme="minorHAnsi"/>
                <w:kern w:val="2"/>
                <w:sz w:val="20"/>
                <w:szCs w:val="20"/>
                <w:lang w:val="en-GB"/>
                <w14:ligatures w14:val="standardContextual"/>
              </w:rPr>
              <w:t xml:space="preserve">Institutional reforms (e.g., accountability and transparency standards, case backlog clearance) are given </w:t>
            </w:r>
            <w:r w:rsidRPr="009D22EB">
              <w:rPr>
                <w:rFonts w:eastAsiaTheme="minorHAnsi"/>
                <w:b/>
                <w:bCs/>
                <w:kern w:val="2"/>
                <w:sz w:val="20"/>
                <w:szCs w:val="20"/>
                <w:lang w:val="en-GB"/>
                <w14:ligatures w14:val="standardContextual"/>
              </w:rPr>
              <w:t>long-term final targets (2026)</w:t>
            </w:r>
            <w:r w:rsidRPr="009D22EB">
              <w:rPr>
                <w:rFonts w:eastAsiaTheme="minorHAnsi"/>
                <w:kern w:val="2"/>
                <w:sz w:val="20"/>
                <w:szCs w:val="20"/>
                <w:lang w:val="en-GB"/>
                <w14:ligatures w14:val="standardContextual"/>
              </w:rPr>
              <w:t xml:space="preserve">, with no </w:t>
            </w:r>
            <w:r w:rsidRPr="009D22EB">
              <w:rPr>
                <w:rFonts w:eastAsiaTheme="minorHAnsi"/>
                <w:b/>
                <w:bCs/>
                <w:kern w:val="2"/>
                <w:sz w:val="20"/>
                <w:szCs w:val="20"/>
                <w:lang w:val="en-GB"/>
                <w14:ligatures w14:val="standardContextual"/>
              </w:rPr>
              <w:t>short-term benchmarks</w:t>
            </w:r>
            <w:r w:rsidRPr="009D22EB">
              <w:rPr>
                <w:rFonts w:eastAsiaTheme="minorHAnsi"/>
                <w:kern w:val="2"/>
                <w:sz w:val="20"/>
                <w:szCs w:val="20"/>
                <w:lang w:val="en-GB"/>
                <w14:ligatures w14:val="standardContextual"/>
              </w:rPr>
              <w:t xml:space="preserve"> to measure incremental progress. This makes it difficult to assess </w:t>
            </w:r>
            <w:r w:rsidRPr="009D22EB">
              <w:rPr>
                <w:rFonts w:eastAsiaTheme="minorHAnsi"/>
                <w:b/>
                <w:bCs/>
                <w:kern w:val="2"/>
                <w:sz w:val="20"/>
                <w:szCs w:val="20"/>
                <w:lang w:val="en-GB"/>
                <w14:ligatures w14:val="standardContextual"/>
              </w:rPr>
              <w:t>mid-term success</w:t>
            </w:r>
            <w:r w:rsidRPr="009D22EB">
              <w:rPr>
                <w:rFonts w:eastAsiaTheme="minorHAnsi"/>
                <w:kern w:val="2"/>
                <w:sz w:val="20"/>
                <w:szCs w:val="20"/>
                <w:lang w:val="en-GB"/>
                <w14:ligatures w14:val="standardContextual"/>
              </w:rPr>
              <w:t xml:space="preserve"> and identify bottlenecks early.</w:t>
            </w:r>
          </w:p>
        </w:tc>
        <w:tc>
          <w:tcPr>
            <w:tcW w:w="3630" w:type="dxa"/>
          </w:tcPr>
          <w:p w14:paraId="2BD545D7" w14:textId="77777777" w:rsidR="00EA79BF" w:rsidRPr="009D22EB" w:rsidRDefault="00EA79BF" w:rsidP="00EE71C7">
            <w:pPr>
              <w:cnfStyle w:val="000000100000" w:firstRow="0" w:lastRow="0" w:firstColumn="0" w:lastColumn="0" w:oddVBand="0" w:evenVBand="0" w:oddHBand="1" w:evenHBand="0" w:firstRowFirstColumn="0" w:firstRowLastColumn="0" w:lastRowFirstColumn="0" w:lastRowLastColumn="0"/>
              <w:rPr>
                <w:sz w:val="20"/>
                <w:szCs w:val="20"/>
                <w:lang w:val="en-GB"/>
              </w:rPr>
            </w:pPr>
          </w:p>
        </w:tc>
      </w:tr>
      <w:tr w:rsidR="00EA79BF" w:rsidRPr="007A5C5F" w14:paraId="7CE43310" w14:textId="77777777" w:rsidTr="00EC302A">
        <w:tc>
          <w:tcPr>
            <w:cnfStyle w:val="001000000000" w:firstRow="0" w:lastRow="0" w:firstColumn="1" w:lastColumn="0" w:oddVBand="0" w:evenVBand="0" w:oddHBand="0" w:evenHBand="0" w:firstRowFirstColumn="0" w:firstRowLastColumn="0" w:lastRowFirstColumn="0" w:lastRowLastColumn="0"/>
            <w:tcW w:w="1720" w:type="dxa"/>
          </w:tcPr>
          <w:p w14:paraId="7FF123D4" w14:textId="77777777" w:rsidR="00EA79BF" w:rsidRPr="009D22EB" w:rsidRDefault="00EA79BF" w:rsidP="00EE71C7">
            <w:pPr>
              <w:rPr>
                <w:sz w:val="20"/>
                <w:szCs w:val="20"/>
                <w:lang w:val="en-GB"/>
              </w:rPr>
            </w:pPr>
            <w:r w:rsidRPr="009D22EB">
              <w:rPr>
                <w:sz w:val="20"/>
                <w:szCs w:val="20"/>
                <w:lang w:val="en-GB"/>
              </w:rPr>
              <w:t>Institutional Reform Milestones</w:t>
            </w:r>
          </w:p>
        </w:tc>
        <w:tc>
          <w:tcPr>
            <w:tcW w:w="4284" w:type="dxa"/>
          </w:tcPr>
          <w:p w14:paraId="60F88B0D" w14:textId="77777777" w:rsidR="00EA79BF" w:rsidRPr="009D22EB" w:rsidRDefault="00EA79BF" w:rsidP="00EE71C7">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No incremental benchmarks for long-term institutional reforms. Example: 'Improved transparency in courts' is a long-term goal with no interim milestones.</w:t>
            </w:r>
          </w:p>
        </w:tc>
        <w:tc>
          <w:tcPr>
            <w:tcW w:w="3630" w:type="dxa"/>
          </w:tcPr>
          <w:p w14:paraId="39FB687C" w14:textId="77777777" w:rsidR="00EA79BF" w:rsidRPr="009D22EB" w:rsidRDefault="00EA79BF" w:rsidP="00570CAD">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Introduce interim progress markers for long-term changes. Example: 'By 2024, at least 50% of justice institutions will adopt new accountability standards.'</w:t>
            </w:r>
          </w:p>
        </w:tc>
      </w:tr>
      <w:tr w:rsidR="00EA79BF" w:rsidRPr="007A5C5F" w14:paraId="1AD5F519" w14:textId="77777777" w:rsidTr="00EC30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0" w:type="dxa"/>
          </w:tcPr>
          <w:p w14:paraId="5987DABB" w14:textId="77777777" w:rsidR="00EA79BF" w:rsidRPr="009D22EB" w:rsidRDefault="00EA79BF" w:rsidP="00EE71C7">
            <w:pPr>
              <w:rPr>
                <w:sz w:val="20"/>
                <w:szCs w:val="20"/>
                <w:lang w:val="en-GB"/>
              </w:rPr>
            </w:pPr>
            <w:r w:rsidRPr="009D22EB">
              <w:rPr>
                <w:sz w:val="20"/>
                <w:szCs w:val="20"/>
                <w:lang w:val="en-GB"/>
              </w:rPr>
              <w:t>Monitoring &amp; Evaluation Strategy</w:t>
            </w:r>
          </w:p>
        </w:tc>
        <w:tc>
          <w:tcPr>
            <w:tcW w:w="4284" w:type="dxa"/>
          </w:tcPr>
          <w:p w14:paraId="4BDF23C1" w14:textId="77777777" w:rsidR="00EA79BF" w:rsidRPr="009D22EB" w:rsidRDefault="00EA79BF" w:rsidP="00EE71C7">
            <w:pPr>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No independent mechanism for verifying project progress. Example: Reliance on internal reporting without external evaluation.</w:t>
            </w:r>
          </w:p>
        </w:tc>
        <w:tc>
          <w:tcPr>
            <w:tcW w:w="3630" w:type="dxa"/>
          </w:tcPr>
          <w:p w14:paraId="4A6B8B90" w14:textId="77777777" w:rsidR="00EA79BF" w:rsidRPr="009D22EB" w:rsidRDefault="00EA79BF" w:rsidP="00570CAD">
            <w:pPr>
              <w:cnfStyle w:val="000000100000" w:firstRow="0" w:lastRow="0" w:firstColumn="0" w:lastColumn="0" w:oddVBand="0" w:evenVBand="0" w:oddHBand="1" w:evenHBand="0" w:firstRowFirstColumn="0" w:firstRowLastColumn="0" w:lastRowFirstColumn="0" w:lastRowLastColumn="0"/>
              <w:rPr>
                <w:sz w:val="20"/>
                <w:szCs w:val="20"/>
                <w:lang w:val="en-GB"/>
              </w:rPr>
            </w:pPr>
            <w:r w:rsidRPr="009D22EB">
              <w:rPr>
                <w:sz w:val="20"/>
                <w:szCs w:val="20"/>
                <w:lang w:val="en-GB"/>
              </w:rPr>
              <w:t>Develop an independent evaluation plan. Example: Annual external reviews of justice reform progress by a third-party organization.</w:t>
            </w:r>
          </w:p>
        </w:tc>
      </w:tr>
      <w:tr w:rsidR="00EA79BF" w:rsidRPr="007A5C5F" w14:paraId="3A5EC9A7" w14:textId="77777777" w:rsidTr="00EC302A">
        <w:tc>
          <w:tcPr>
            <w:cnfStyle w:val="001000000000" w:firstRow="0" w:lastRow="0" w:firstColumn="1" w:lastColumn="0" w:oddVBand="0" w:evenVBand="0" w:oddHBand="0" w:evenHBand="0" w:firstRowFirstColumn="0" w:firstRowLastColumn="0" w:lastRowFirstColumn="0" w:lastRowLastColumn="0"/>
            <w:tcW w:w="1720" w:type="dxa"/>
          </w:tcPr>
          <w:p w14:paraId="1D287522" w14:textId="77777777" w:rsidR="00EA79BF" w:rsidRPr="009D22EB" w:rsidRDefault="00EA79BF" w:rsidP="00EE71C7">
            <w:pPr>
              <w:rPr>
                <w:sz w:val="20"/>
                <w:szCs w:val="20"/>
                <w:lang w:val="en-GB"/>
              </w:rPr>
            </w:pPr>
            <w:r w:rsidRPr="009D22EB">
              <w:rPr>
                <w:sz w:val="20"/>
                <w:szCs w:val="20"/>
                <w:lang w:val="en-GB"/>
              </w:rPr>
              <w:t>Perception Survey Methodology</w:t>
            </w:r>
          </w:p>
        </w:tc>
        <w:tc>
          <w:tcPr>
            <w:tcW w:w="4284" w:type="dxa"/>
          </w:tcPr>
          <w:p w14:paraId="342263E8" w14:textId="77777777" w:rsidR="00EA79BF" w:rsidRPr="009D22EB" w:rsidRDefault="00EA79BF" w:rsidP="00EE71C7">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No clear plan for conducting surveys beyond the start and end of the project. Example: No plan for mid-term perception checks.</w:t>
            </w:r>
          </w:p>
        </w:tc>
        <w:tc>
          <w:tcPr>
            <w:tcW w:w="3630" w:type="dxa"/>
          </w:tcPr>
          <w:p w14:paraId="265F8ADB" w14:textId="77777777" w:rsidR="00EA79BF" w:rsidRPr="009D22EB" w:rsidRDefault="00EA79BF" w:rsidP="00570CAD">
            <w:pPr>
              <w:cnfStyle w:val="000000000000" w:firstRow="0" w:lastRow="0" w:firstColumn="0" w:lastColumn="0" w:oddVBand="0" w:evenVBand="0" w:oddHBand="0" w:evenHBand="0" w:firstRowFirstColumn="0" w:firstRowLastColumn="0" w:lastRowFirstColumn="0" w:lastRowLastColumn="0"/>
              <w:rPr>
                <w:sz w:val="20"/>
                <w:szCs w:val="20"/>
                <w:lang w:val="en-GB"/>
              </w:rPr>
            </w:pPr>
            <w:r w:rsidRPr="009D22EB">
              <w:rPr>
                <w:sz w:val="20"/>
                <w:szCs w:val="20"/>
                <w:lang w:val="en-GB"/>
              </w:rPr>
              <w:t>Ensure perception surveys follow rigorous methodologies. Example: Conduct surveys at multiple project stages and validate results through focus groups.</w:t>
            </w:r>
          </w:p>
        </w:tc>
      </w:tr>
    </w:tbl>
    <w:p w14:paraId="181779A4" w14:textId="77777777" w:rsidR="00EC302A" w:rsidRDefault="00EC302A" w:rsidP="00EC302A">
      <w:pPr>
        <w:jc w:val="both"/>
        <w:rPr>
          <w:rFonts w:eastAsia="DengXian Light"/>
          <w:b/>
          <w:bCs/>
          <w:sz w:val="22"/>
          <w:szCs w:val="22"/>
          <w:lang w:val="en-GB"/>
        </w:rPr>
      </w:pPr>
    </w:p>
    <w:p w14:paraId="68BB4D0E" w14:textId="77777777" w:rsidR="00EC302A" w:rsidRPr="00EC302A" w:rsidRDefault="00EC302A" w:rsidP="00EC302A">
      <w:pPr>
        <w:jc w:val="both"/>
        <w:rPr>
          <w:rFonts w:eastAsia="DengXian Light"/>
          <w:sz w:val="22"/>
          <w:szCs w:val="22"/>
          <w:lang w:val="en-GB"/>
        </w:rPr>
      </w:pPr>
    </w:p>
    <w:p w14:paraId="70446D12" w14:textId="0FE27C01" w:rsidR="00EC302A" w:rsidRPr="00FA602C" w:rsidRDefault="00EC302A" w:rsidP="00EC302A">
      <w:pPr>
        <w:jc w:val="both"/>
        <w:rPr>
          <w:rFonts w:eastAsia="DengXian Light"/>
          <w:sz w:val="22"/>
          <w:szCs w:val="22"/>
          <w:lang w:val="en-GB"/>
        </w:rPr>
      </w:pPr>
      <w:r w:rsidRPr="00EC302A">
        <w:rPr>
          <w:rFonts w:eastAsia="DengXian Light"/>
          <w:sz w:val="22"/>
          <w:szCs w:val="22"/>
        </w:rPr>
        <w:t>The first draft report was submitted to the Evaluation Reference Group on January 20, 2025. After incorporating comments and recommendations for corrections and clarifications from UNDP and UNICEF, the evaluation team submitted the revised draft on February 6, 2025.</w:t>
      </w:r>
    </w:p>
    <w:p w14:paraId="7FB0EA9F" w14:textId="77777777" w:rsidR="00EC302A" w:rsidRDefault="00EC302A" w:rsidP="00EC302A">
      <w:pPr>
        <w:jc w:val="both"/>
        <w:rPr>
          <w:rFonts w:eastAsia="DengXian Light"/>
          <w:b/>
          <w:bCs/>
          <w:sz w:val="22"/>
          <w:szCs w:val="22"/>
          <w:lang w:val="en-GB"/>
        </w:rPr>
      </w:pPr>
    </w:p>
    <w:p w14:paraId="53401BF5" w14:textId="01004C78" w:rsidR="00EC302A" w:rsidRPr="007A5C5F" w:rsidRDefault="00EC302A" w:rsidP="00EC302A">
      <w:pPr>
        <w:jc w:val="both"/>
        <w:rPr>
          <w:sz w:val="22"/>
          <w:szCs w:val="22"/>
          <w:lang w:val="en-GB"/>
        </w:rPr>
      </w:pPr>
      <w:r w:rsidRPr="007A5C5F">
        <w:rPr>
          <w:rFonts w:eastAsia="DengXian Light"/>
          <w:b/>
          <w:bCs/>
          <w:sz w:val="22"/>
          <w:szCs w:val="22"/>
          <w:lang w:val="en-GB"/>
        </w:rPr>
        <w:t>Background information on evaluators:</w:t>
      </w:r>
      <w:r w:rsidRPr="007A5C5F" w:rsidDel="002723AD">
        <w:rPr>
          <w:sz w:val="22"/>
          <w:szCs w:val="22"/>
          <w:lang w:val="en-GB"/>
        </w:rPr>
        <w:t xml:space="preserve"> </w:t>
      </w:r>
      <w:r w:rsidRPr="007A5C5F">
        <w:rPr>
          <w:sz w:val="22"/>
          <w:szCs w:val="22"/>
          <w:lang w:val="en-GB"/>
        </w:rPr>
        <w:t xml:space="preserve">The evaluation team was led by Bunafsha Gulakova, a </w:t>
      </w:r>
      <w:r>
        <w:rPr>
          <w:sz w:val="22"/>
          <w:szCs w:val="22"/>
          <w:lang w:val="en-GB"/>
        </w:rPr>
        <w:t>public interest lawyer</w:t>
      </w:r>
      <w:r w:rsidRPr="007A5C5F">
        <w:rPr>
          <w:sz w:val="22"/>
          <w:szCs w:val="22"/>
          <w:lang w:val="en-GB"/>
        </w:rPr>
        <w:t xml:space="preserve"> and </w:t>
      </w:r>
      <w:r>
        <w:rPr>
          <w:sz w:val="22"/>
          <w:szCs w:val="22"/>
          <w:lang w:val="en-GB"/>
        </w:rPr>
        <w:t>evaluator</w:t>
      </w:r>
      <w:r w:rsidRPr="007A5C5F">
        <w:rPr>
          <w:sz w:val="22"/>
          <w:szCs w:val="22"/>
          <w:lang w:val="en-GB"/>
        </w:rPr>
        <w:t xml:space="preserve"> from Austria </w:t>
      </w:r>
      <w:r>
        <w:rPr>
          <w:sz w:val="22"/>
          <w:szCs w:val="22"/>
          <w:lang w:val="en-GB"/>
        </w:rPr>
        <w:t>who brings</w:t>
      </w:r>
      <w:r w:rsidRPr="007A5C5F">
        <w:rPr>
          <w:sz w:val="22"/>
          <w:szCs w:val="22"/>
          <w:lang w:val="en-GB"/>
        </w:rPr>
        <w:t xml:space="preserve"> expertise in legal analysis, governance, and evaluation methodologies. The Marga Institute from Sri Lanka was represented by a diverse team, including one Evaluation Manager (male), one Evaluator (male), and four female Data Collectors. The composition of the team ensured a well-balanced mix of technical skills, covering evaluation methodologies, justice sector reforms,</w:t>
      </w:r>
      <w:r>
        <w:rPr>
          <w:sz w:val="22"/>
          <w:szCs w:val="22"/>
          <w:lang w:val="en-GB"/>
        </w:rPr>
        <w:t xml:space="preserve"> </w:t>
      </w:r>
      <w:r w:rsidRPr="007A5C5F">
        <w:rPr>
          <w:sz w:val="22"/>
          <w:szCs w:val="22"/>
          <w:lang w:val="en-GB"/>
        </w:rPr>
        <w:t>and governance. The gender balance was maintained, with a female Team Leader and four female Data Collectors</w:t>
      </w:r>
      <w:r>
        <w:rPr>
          <w:sz w:val="22"/>
          <w:szCs w:val="22"/>
          <w:lang w:val="en-GB"/>
        </w:rPr>
        <w:t>, national M&amp;E expert (male) and other senior experts (male)</w:t>
      </w:r>
      <w:r w:rsidRPr="007A5C5F">
        <w:rPr>
          <w:sz w:val="22"/>
          <w:szCs w:val="22"/>
          <w:lang w:val="en-GB"/>
        </w:rPr>
        <w:t>, ensuring diverse perspectives. Additionally, the combination of international and local expertise provided a comprehensive geographical and contextual perspective for the evaluation.</w:t>
      </w:r>
    </w:p>
    <w:p w14:paraId="5D7D6FCD" w14:textId="77777777" w:rsidR="00EC302A" w:rsidRPr="007A5C5F" w:rsidRDefault="00EC302A" w:rsidP="00EC302A">
      <w:pPr>
        <w:ind w:left="360" w:hanging="360"/>
        <w:jc w:val="both"/>
        <w:rPr>
          <w:sz w:val="22"/>
          <w:szCs w:val="22"/>
          <w:lang w:val="en-GB"/>
        </w:rPr>
      </w:pPr>
    </w:p>
    <w:p w14:paraId="616ADA31" w14:textId="3B307BB2" w:rsidR="00EA79BF" w:rsidRPr="009D22EB" w:rsidRDefault="00EC302A" w:rsidP="00EC302A">
      <w:pPr>
        <w:suppressAutoHyphens/>
        <w:autoSpaceDN w:val="0"/>
        <w:spacing w:after="160" w:line="256" w:lineRule="auto"/>
        <w:jc w:val="both"/>
        <w:rPr>
          <w:b/>
          <w:bCs/>
          <w:color w:val="ED7D31" w:themeColor="accent2"/>
        </w:rPr>
      </w:pPr>
      <w:r w:rsidRPr="009D22EB">
        <w:rPr>
          <w:b/>
          <w:bCs/>
          <w:color w:val="ED7D31" w:themeColor="accent2"/>
        </w:rPr>
        <w:t>Phase 4. Publication and Dissemination (pending)</w:t>
      </w:r>
    </w:p>
    <w:p w14:paraId="40DCA0C8" w14:textId="77777777" w:rsidR="00EC302A" w:rsidRPr="00EC302A" w:rsidRDefault="00EC302A" w:rsidP="00EC302A">
      <w:pPr>
        <w:jc w:val="both"/>
        <w:rPr>
          <w:sz w:val="22"/>
          <w:szCs w:val="22"/>
          <w:lang w:val="en-GB"/>
        </w:rPr>
      </w:pPr>
      <w:r w:rsidRPr="00EC302A">
        <w:rPr>
          <w:sz w:val="22"/>
          <w:szCs w:val="22"/>
          <w:lang w:val="en-GB"/>
        </w:rPr>
        <w:lastRenderedPageBreak/>
        <w:t>Following the review and incorporation of comments from UNDP, UNICEF, and the Evaluation Reference Group, the Mid-Term Evaluation (MTE) report will undergo final revisions to ensure accuracy, clarity, and alignment with stakeholder expectations. Once finalized, the report will be formally approved and prepared for publication, ensuring accessibility to all relevant partners and decision-makers.</w:t>
      </w:r>
    </w:p>
    <w:p w14:paraId="6B10F890" w14:textId="77777777" w:rsidR="00EC302A" w:rsidRDefault="00EC302A" w:rsidP="00EC302A">
      <w:pPr>
        <w:jc w:val="both"/>
        <w:rPr>
          <w:sz w:val="22"/>
          <w:szCs w:val="22"/>
          <w:lang w:val="en-GB"/>
        </w:rPr>
      </w:pPr>
      <w:r w:rsidRPr="00EC302A">
        <w:rPr>
          <w:sz w:val="22"/>
          <w:szCs w:val="22"/>
          <w:lang w:val="en-GB"/>
        </w:rPr>
        <w:t>To maximize its impact, the MTE report will be disseminated through multiple channels, including official UNDP and UNICEF platforms, direct distribution to key stakeholders, and targeted outreach to government agencies, civil society organizations, and international partners. Additionally, a dissemination event will be organized to present the key findings, lessons learned, and recommendations, fostering dialogue on the way forward for the project. The report’s findings will also be integrated into strategic planning discussions to inform future programmatic decisions and policy directions.</w:t>
      </w:r>
    </w:p>
    <w:p w14:paraId="7AFD270B" w14:textId="77777777" w:rsidR="00335013" w:rsidRDefault="00335013" w:rsidP="00335013">
      <w:pPr>
        <w:pStyle w:val="Caption"/>
      </w:pPr>
    </w:p>
    <w:p w14:paraId="7F9D3139" w14:textId="58F5BAF9" w:rsidR="00335013" w:rsidRPr="00EC302A" w:rsidRDefault="00335013" w:rsidP="00335013">
      <w:pPr>
        <w:pStyle w:val="Caption"/>
        <w:rPr>
          <w:color w:val="auto"/>
          <w:sz w:val="22"/>
          <w:szCs w:val="22"/>
          <w:lang w:val="en-GB"/>
        </w:rPr>
      </w:pPr>
      <w:r>
        <w:t xml:space="preserve">Figure </w:t>
      </w:r>
      <w:r>
        <w:fldChar w:fldCharType="begin"/>
      </w:r>
      <w:r>
        <w:instrText xml:space="preserve"> SEQ Figure \* ARABIC </w:instrText>
      </w:r>
      <w:r>
        <w:fldChar w:fldCharType="separate"/>
      </w:r>
      <w:r w:rsidR="0095181E">
        <w:rPr>
          <w:noProof/>
        </w:rPr>
        <w:t>3</w:t>
      </w:r>
      <w:r>
        <w:fldChar w:fldCharType="end"/>
      </w:r>
      <w:r>
        <w:t>. Evaluation Phases.</w:t>
      </w:r>
    </w:p>
    <w:p w14:paraId="76CD8B76" w14:textId="41FCFFA9" w:rsidR="00EC302A" w:rsidRDefault="00335013" w:rsidP="00EA79BF">
      <w:pPr>
        <w:pStyle w:val="Heading3"/>
        <w:rPr>
          <w:rFonts w:ascii="Times New Roman" w:hAnsi="Times New Roman" w:cs="Times New Roman"/>
          <w:lang w:val="en-GB"/>
        </w:rPr>
      </w:pPr>
      <w:r>
        <w:rPr>
          <w:rFonts w:ascii="Times New Roman" w:hAnsi="Times New Roman" w:cs="Times New Roman"/>
          <w:noProof/>
          <w:lang w:val="en-GB"/>
        </w:rPr>
        <w:drawing>
          <wp:inline distT="0" distB="0" distL="0" distR="0" wp14:anchorId="21E8D196" wp14:editId="24B2F9D9">
            <wp:extent cx="6089650" cy="3425190"/>
            <wp:effectExtent l="0" t="0" r="6350" b="3810"/>
            <wp:docPr id="10332298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229801" name="Picture 1033229801"/>
                    <pic:cNvPicPr/>
                  </pic:nvPicPr>
                  <pic:blipFill>
                    <a:blip r:embed="rId28"/>
                    <a:stretch>
                      <a:fillRect/>
                    </a:stretch>
                  </pic:blipFill>
                  <pic:spPr>
                    <a:xfrm>
                      <a:off x="0" y="0"/>
                      <a:ext cx="6089650" cy="3425190"/>
                    </a:xfrm>
                    <a:prstGeom prst="rect">
                      <a:avLst/>
                    </a:prstGeom>
                  </pic:spPr>
                </pic:pic>
              </a:graphicData>
            </a:graphic>
          </wp:inline>
        </w:drawing>
      </w:r>
    </w:p>
    <w:p w14:paraId="78A94473" w14:textId="3B8E48FD" w:rsidR="00EA79BF" w:rsidRDefault="00EA79BF" w:rsidP="00ED60BB">
      <w:pPr>
        <w:pStyle w:val="Heading3"/>
        <w:rPr>
          <w:rFonts w:ascii="Times New Roman" w:hAnsi="Times New Roman" w:cs="Times New Roman"/>
          <w:lang w:val="en-GB"/>
        </w:rPr>
      </w:pPr>
      <w:r w:rsidRPr="007A5C5F">
        <w:rPr>
          <w:rFonts w:ascii="Times New Roman" w:hAnsi="Times New Roman" w:cs="Times New Roman"/>
          <w:lang w:val="en-GB"/>
        </w:rPr>
        <w:t>LIMITATIONS TO THE EVALUATION</w:t>
      </w:r>
    </w:p>
    <w:p w14:paraId="0DD2A027" w14:textId="77777777" w:rsidR="00FA602C" w:rsidRPr="00FA602C" w:rsidRDefault="00FA602C" w:rsidP="00FA602C">
      <w:pPr>
        <w:rPr>
          <w:lang w:val="en-GB"/>
        </w:rPr>
      </w:pPr>
    </w:p>
    <w:tbl>
      <w:tblPr>
        <w:tblStyle w:val="IESTable"/>
        <w:tblW w:w="4995" w:type="pct"/>
        <w:tblLook w:val="04A0" w:firstRow="1" w:lastRow="0" w:firstColumn="1" w:lastColumn="0" w:noHBand="0" w:noVBand="1"/>
      </w:tblPr>
      <w:tblGrid>
        <w:gridCol w:w="4785"/>
        <w:gridCol w:w="4785"/>
      </w:tblGrid>
      <w:tr w:rsidR="00EA79BF" w:rsidRPr="007A5C5F" w14:paraId="59EB4F5A" w14:textId="77777777" w:rsidTr="00EE71C7">
        <w:trPr>
          <w:cnfStyle w:val="100000000000" w:firstRow="1" w:lastRow="0" w:firstColumn="0" w:lastColumn="0" w:oddVBand="0" w:evenVBand="0" w:oddHBand="0" w:evenHBand="0" w:firstRowFirstColumn="0" w:firstRowLastColumn="0" w:lastRowFirstColumn="0" w:lastRowLastColumn="0"/>
        </w:trPr>
        <w:tc>
          <w:tcPr>
            <w:tcW w:w="2500" w:type="pct"/>
          </w:tcPr>
          <w:p w14:paraId="10B3F886" w14:textId="77777777" w:rsidR="00EA79BF" w:rsidRPr="007A5C5F" w:rsidRDefault="00EA79BF" w:rsidP="00EE71C7">
            <w:pPr>
              <w:pStyle w:val="NormalTableHeader"/>
              <w:rPr>
                <w:rFonts w:ascii="Times New Roman" w:hAnsi="Times New Roman" w:cs="Times New Roman"/>
                <w:lang w:val="en-GB"/>
              </w:rPr>
            </w:pPr>
            <w:r w:rsidRPr="007A5C5F">
              <w:rPr>
                <w:rFonts w:ascii="Times New Roman" w:hAnsi="Times New Roman" w:cs="Times New Roman"/>
                <w:lang w:val="en-GB"/>
              </w:rPr>
              <w:t>Limitations to the evaluation</w:t>
            </w:r>
          </w:p>
        </w:tc>
        <w:tc>
          <w:tcPr>
            <w:tcW w:w="2500" w:type="pct"/>
          </w:tcPr>
          <w:p w14:paraId="6351F32F" w14:textId="77777777" w:rsidR="00EA79BF" w:rsidRPr="007A5C5F" w:rsidRDefault="00EA79BF" w:rsidP="00EE71C7">
            <w:pPr>
              <w:pStyle w:val="NormalTableHeader"/>
              <w:rPr>
                <w:rFonts w:ascii="Times New Roman" w:hAnsi="Times New Roman" w:cs="Times New Roman"/>
                <w:lang w:val="en-GB"/>
              </w:rPr>
            </w:pPr>
            <w:r w:rsidRPr="007A5C5F">
              <w:rPr>
                <w:rFonts w:ascii="Times New Roman" w:hAnsi="Times New Roman" w:cs="Times New Roman"/>
                <w:lang w:val="en-GB"/>
              </w:rPr>
              <w:t>Mitigation measures</w:t>
            </w:r>
          </w:p>
        </w:tc>
      </w:tr>
      <w:tr w:rsidR="00EA79BF" w:rsidRPr="007A5C5F" w14:paraId="58511362" w14:textId="77777777" w:rsidTr="00EE71C7">
        <w:tc>
          <w:tcPr>
            <w:tcW w:w="2500" w:type="pct"/>
          </w:tcPr>
          <w:p w14:paraId="33502482" w14:textId="77777777" w:rsidR="00EA79BF" w:rsidRPr="007A5C5F" w:rsidRDefault="00EA79BF" w:rsidP="00EE71C7">
            <w:pPr>
              <w:pStyle w:val="TableNormal1"/>
              <w:jc w:val="both"/>
              <w:rPr>
                <w:lang w:val="en-GB"/>
              </w:rPr>
            </w:pPr>
            <w:r w:rsidRPr="007A5C5F">
              <w:rPr>
                <w:lang w:val="en-GB"/>
              </w:rPr>
              <w:t>Scheduling Difficulties and Last-Minute Venue Changes</w:t>
            </w:r>
          </w:p>
          <w:p w14:paraId="24956FE3" w14:textId="77777777" w:rsidR="00EA79BF" w:rsidRPr="007A5C5F" w:rsidRDefault="00EA79BF" w:rsidP="00EE71C7">
            <w:pPr>
              <w:pStyle w:val="TableNormal1"/>
              <w:jc w:val="both"/>
              <w:rPr>
                <w:lang w:val="en-GB"/>
              </w:rPr>
            </w:pPr>
            <w:r w:rsidRPr="007A5C5F">
              <w:rPr>
                <w:b/>
                <w:bCs/>
                <w:lang w:val="en-GB"/>
              </w:rPr>
              <w:t>Challenge:</w:t>
            </w:r>
            <w:r w:rsidRPr="007A5C5F">
              <w:rPr>
                <w:lang w:val="en-GB"/>
              </w:rPr>
              <w:t xml:space="preserve"> Coordinating interviews was challenging due to frequent delays and last-minute changes in meeting venues, disrupting the planned data collection process.</w:t>
            </w:r>
          </w:p>
          <w:p w14:paraId="13F21715" w14:textId="77777777" w:rsidR="00EA79BF" w:rsidRPr="007A5C5F" w:rsidRDefault="00EA79BF" w:rsidP="00EE71C7">
            <w:pPr>
              <w:pStyle w:val="TableNormal1"/>
              <w:jc w:val="both"/>
              <w:rPr>
                <w:lang w:val="en-GB"/>
              </w:rPr>
            </w:pPr>
          </w:p>
        </w:tc>
        <w:tc>
          <w:tcPr>
            <w:tcW w:w="2500" w:type="pct"/>
          </w:tcPr>
          <w:p w14:paraId="496C3C46" w14:textId="77777777" w:rsidR="00EA79BF" w:rsidRPr="007A5C5F" w:rsidRDefault="00EA79BF" w:rsidP="00EE71C7">
            <w:pPr>
              <w:pStyle w:val="TableNormal1"/>
              <w:jc w:val="both"/>
              <w:rPr>
                <w:lang w:val="en-GB"/>
              </w:rPr>
            </w:pPr>
            <w:r w:rsidRPr="007A5C5F">
              <w:rPr>
                <w:lang w:val="en-GB"/>
              </w:rPr>
              <w:t xml:space="preserve">The evaluation </w:t>
            </w:r>
            <w:r>
              <w:t>team-maintained</w:t>
            </w:r>
            <w:r w:rsidRPr="007A5C5F">
              <w:rPr>
                <w:lang w:val="en-GB"/>
              </w:rPr>
              <w:t xml:space="preserve"> </w:t>
            </w:r>
            <w:r w:rsidRPr="007A5C5F">
              <w:rPr>
                <w:b/>
                <w:bCs/>
                <w:lang w:val="en-GB"/>
              </w:rPr>
              <w:t>flexibility</w:t>
            </w:r>
            <w:r w:rsidRPr="007A5C5F">
              <w:rPr>
                <w:lang w:val="en-GB"/>
              </w:rPr>
              <w:t xml:space="preserve"> in scheduling and utilized </w:t>
            </w:r>
            <w:r w:rsidRPr="007A5C5F">
              <w:rPr>
                <w:b/>
                <w:bCs/>
                <w:lang w:val="en-GB"/>
              </w:rPr>
              <w:t>virtual interviews</w:t>
            </w:r>
            <w:r w:rsidRPr="007A5C5F">
              <w:rPr>
                <w:lang w:val="en-GB"/>
              </w:rPr>
              <w:t xml:space="preserve"> when necessary to accommodate shifting availability. Continuous communication with focal points helped anticipate changes and adjust plans accordingly.</w:t>
            </w:r>
          </w:p>
        </w:tc>
      </w:tr>
      <w:tr w:rsidR="00EA79BF" w:rsidRPr="007A5C5F" w14:paraId="05FD68F7" w14:textId="77777777" w:rsidTr="00EE71C7">
        <w:tc>
          <w:tcPr>
            <w:tcW w:w="2500" w:type="pct"/>
          </w:tcPr>
          <w:p w14:paraId="39617B28" w14:textId="77777777" w:rsidR="00EA79BF" w:rsidRPr="007A5C5F" w:rsidRDefault="00EA79BF" w:rsidP="00EE71C7">
            <w:pPr>
              <w:pStyle w:val="TableNormal1"/>
              <w:jc w:val="both"/>
              <w:rPr>
                <w:lang w:val="en-GB"/>
              </w:rPr>
            </w:pPr>
            <w:r w:rsidRPr="007A5C5F">
              <w:rPr>
                <w:lang w:val="en-GB"/>
              </w:rPr>
              <w:t>Institutional Memory Loss Due to High Staff Turnover</w:t>
            </w:r>
            <w:r w:rsidRPr="007A5C5F">
              <w:rPr>
                <w:b/>
                <w:bCs/>
                <w:sz w:val="24"/>
                <w:szCs w:val="24"/>
                <w:lang w:val="en-GB"/>
              </w:rPr>
              <w:t xml:space="preserve"> </w:t>
            </w:r>
            <w:r w:rsidRPr="007A5C5F">
              <w:rPr>
                <w:b/>
                <w:bCs/>
                <w:lang w:val="en-GB"/>
              </w:rPr>
              <w:t>Challenge:</w:t>
            </w:r>
            <w:r w:rsidRPr="007A5C5F">
              <w:rPr>
                <w:lang w:val="en-GB"/>
              </w:rPr>
              <w:t xml:space="preserve"> Frequent turnover among key national partners resulted in institutional memory loss, affecting the availability of historical knowledge and insights essential for the evaluation.</w:t>
            </w:r>
          </w:p>
        </w:tc>
        <w:tc>
          <w:tcPr>
            <w:tcW w:w="2500" w:type="pct"/>
          </w:tcPr>
          <w:p w14:paraId="6BBE7E3A" w14:textId="77777777" w:rsidR="00EA79BF" w:rsidRPr="007A5C5F" w:rsidRDefault="00EA79BF" w:rsidP="00EE71C7">
            <w:pPr>
              <w:pStyle w:val="TableNormal1"/>
              <w:jc w:val="both"/>
              <w:rPr>
                <w:lang w:val="en-GB"/>
              </w:rPr>
            </w:pPr>
            <w:r w:rsidRPr="007A5C5F">
              <w:rPr>
                <w:lang w:val="en-GB"/>
              </w:rPr>
              <w:t xml:space="preserve">To address this, the team </w:t>
            </w:r>
            <w:r w:rsidRPr="007A5C5F">
              <w:rPr>
                <w:b/>
                <w:bCs/>
                <w:lang w:val="en-GB"/>
              </w:rPr>
              <w:t>triangulated information</w:t>
            </w:r>
            <w:r w:rsidRPr="007A5C5F">
              <w:rPr>
                <w:lang w:val="en-GB"/>
              </w:rPr>
              <w:t xml:space="preserve"> by consulting multiple sources, including past reports, documentation, and interviews with former officials when possible. This approach helped reconstruct critical institutional knowledge.</w:t>
            </w:r>
          </w:p>
        </w:tc>
      </w:tr>
      <w:tr w:rsidR="00EA79BF" w:rsidRPr="007A5C5F" w14:paraId="28FF295F" w14:textId="77777777" w:rsidTr="00EE71C7">
        <w:tc>
          <w:tcPr>
            <w:tcW w:w="2500" w:type="pct"/>
          </w:tcPr>
          <w:p w14:paraId="65B082CD" w14:textId="77777777" w:rsidR="00EA79BF" w:rsidRPr="003175D9" w:rsidRDefault="00EA79BF" w:rsidP="00EE71C7">
            <w:pPr>
              <w:pStyle w:val="TableNormal1"/>
              <w:jc w:val="both"/>
              <w:rPr>
                <w:b/>
                <w:bCs/>
                <w:lang w:val="en-GB"/>
              </w:rPr>
            </w:pPr>
            <w:r w:rsidRPr="003175D9">
              <w:rPr>
                <w:b/>
                <w:bCs/>
                <w:lang w:val="en-GB"/>
              </w:rPr>
              <w:t>Impact of Governmental and Legislative Changes</w:t>
            </w:r>
          </w:p>
          <w:p w14:paraId="3F96DFB8" w14:textId="77777777" w:rsidR="00EA79BF" w:rsidRPr="007A5C5F" w:rsidRDefault="00EA79BF" w:rsidP="00EE71C7">
            <w:pPr>
              <w:pStyle w:val="TableNormal1"/>
              <w:jc w:val="both"/>
              <w:rPr>
                <w:lang w:val="en-GB"/>
              </w:rPr>
            </w:pPr>
            <w:r w:rsidRPr="003175D9">
              <w:rPr>
                <w:b/>
                <w:bCs/>
                <w:lang w:val="en-GB"/>
              </w:rPr>
              <w:t>Challenge:</w:t>
            </w:r>
            <w:r w:rsidRPr="003175D9">
              <w:rPr>
                <w:lang w:val="en-GB"/>
              </w:rPr>
              <w:t xml:space="preserve"> Changes in governmental and legislative bodies led to postponements of key interviews, delaying the data collection process.</w:t>
            </w:r>
            <w:r w:rsidRPr="003175D9">
              <w:rPr>
                <w:lang w:val="en-GB"/>
              </w:rPr>
              <w:br/>
            </w:r>
          </w:p>
        </w:tc>
        <w:tc>
          <w:tcPr>
            <w:tcW w:w="2500" w:type="pct"/>
          </w:tcPr>
          <w:p w14:paraId="1A11693E" w14:textId="77777777" w:rsidR="00EA79BF" w:rsidRPr="007A5C5F" w:rsidRDefault="00EA79BF" w:rsidP="00EE71C7">
            <w:pPr>
              <w:pStyle w:val="TableNormal1"/>
              <w:jc w:val="both"/>
              <w:rPr>
                <w:lang w:val="en-GB"/>
              </w:rPr>
            </w:pPr>
            <w:r w:rsidRPr="003175D9">
              <w:rPr>
                <w:lang w:val="en-GB"/>
              </w:rPr>
              <w:t xml:space="preserve">The team adopted a </w:t>
            </w:r>
            <w:r w:rsidRPr="003175D9">
              <w:rPr>
                <w:b/>
                <w:bCs/>
                <w:lang w:val="en-GB"/>
              </w:rPr>
              <w:t>phased interview approach</w:t>
            </w:r>
            <w:r w:rsidRPr="003175D9">
              <w:rPr>
                <w:lang w:val="en-GB"/>
              </w:rPr>
              <w:t>, prioritizing available stakeholders while continuously engaging with new appointees. Briefing materials were prepared to ensure that newly assigned officials could quickly grasp the context of the evaluation.</w:t>
            </w:r>
          </w:p>
        </w:tc>
      </w:tr>
      <w:tr w:rsidR="00EA79BF" w:rsidRPr="007A5C5F" w14:paraId="531C6410" w14:textId="77777777" w:rsidTr="00EE71C7">
        <w:tc>
          <w:tcPr>
            <w:tcW w:w="2500" w:type="pct"/>
          </w:tcPr>
          <w:p w14:paraId="5FE2DDAD" w14:textId="77777777" w:rsidR="00EA79BF" w:rsidRPr="003175D9" w:rsidRDefault="00EA79BF" w:rsidP="00EE71C7">
            <w:pPr>
              <w:pStyle w:val="TableNormal1"/>
              <w:jc w:val="both"/>
              <w:rPr>
                <w:b/>
                <w:bCs/>
                <w:lang w:val="en-GB"/>
              </w:rPr>
            </w:pPr>
            <w:r w:rsidRPr="003175D9">
              <w:rPr>
                <w:b/>
                <w:bCs/>
                <w:lang w:val="en-GB"/>
              </w:rPr>
              <w:t>Accessibility and Participatory Engagement in Remote Locations</w:t>
            </w:r>
          </w:p>
          <w:p w14:paraId="1D5F3095" w14:textId="77777777" w:rsidR="00EA79BF" w:rsidRPr="007A5C5F" w:rsidRDefault="00EA79BF" w:rsidP="00EE71C7">
            <w:pPr>
              <w:pStyle w:val="TableNormal1"/>
              <w:jc w:val="both"/>
              <w:rPr>
                <w:lang w:val="en-GB"/>
              </w:rPr>
            </w:pPr>
            <w:r w:rsidRPr="003175D9">
              <w:rPr>
                <w:b/>
                <w:bCs/>
                <w:lang w:val="en-GB"/>
              </w:rPr>
              <w:lastRenderedPageBreak/>
              <w:t>Challenge:</w:t>
            </w:r>
            <w:r w:rsidRPr="003175D9">
              <w:rPr>
                <w:lang w:val="en-GB"/>
              </w:rPr>
              <w:t xml:space="preserve"> Reaching remote locations and ensuring participatory engagement posed logistical and practical difficulties.</w:t>
            </w:r>
            <w:r w:rsidRPr="003175D9">
              <w:rPr>
                <w:lang w:val="en-GB"/>
              </w:rPr>
              <w:br/>
            </w:r>
          </w:p>
        </w:tc>
        <w:tc>
          <w:tcPr>
            <w:tcW w:w="2500" w:type="pct"/>
          </w:tcPr>
          <w:p w14:paraId="67D78BD5" w14:textId="77777777" w:rsidR="00EA79BF" w:rsidRPr="007A5C5F" w:rsidRDefault="00EA79BF" w:rsidP="00EE71C7">
            <w:pPr>
              <w:pStyle w:val="TableNormal1"/>
              <w:jc w:val="both"/>
              <w:rPr>
                <w:lang w:val="en-GB"/>
              </w:rPr>
            </w:pPr>
            <w:r w:rsidRPr="003175D9">
              <w:rPr>
                <w:lang w:val="en-GB"/>
              </w:rPr>
              <w:lastRenderedPageBreak/>
              <w:t xml:space="preserve">The team leveraged </w:t>
            </w:r>
            <w:r w:rsidRPr="003175D9">
              <w:rPr>
                <w:b/>
                <w:bCs/>
                <w:lang w:val="en-GB"/>
              </w:rPr>
              <w:t>local data collectors</w:t>
            </w:r>
            <w:r w:rsidRPr="003175D9">
              <w:rPr>
                <w:lang w:val="en-GB"/>
              </w:rPr>
              <w:t xml:space="preserve"> to facilitate on-the-ground interviews and focus group discussions, ensuring contextual sensitivity and broader participation. </w:t>
            </w:r>
            <w:r w:rsidRPr="003175D9">
              <w:rPr>
                <w:lang w:val="en-GB"/>
              </w:rPr>
              <w:lastRenderedPageBreak/>
              <w:t xml:space="preserve">Additionally, </w:t>
            </w:r>
            <w:r w:rsidRPr="003175D9">
              <w:rPr>
                <w:b/>
                <w:bCs/>
                <w:lang w:val="en-GB"/>
              </w:rPr>
              <w:t>hybrid interview methods</w:t>
            </w:r>
            <w:r w:rsidRPr="003175D9">
              <w:rPr>
                <w:lang w:val="en-GB"/>
              </w:rPr>
              <w:t xml:space="preserve"> (combining in-person and virtual interactions) were employed where travel was restricted.</w:t>
            </w:r>
          </w:p>
        </w:tc>
      </w:tr>
      <w:tr w:rsidR="00EA79BF" w:rsidRPr="007A5C5F" w14:paraId="5BE76C5F" w14:textId="77777777" w:rsidTr="00EE71C7">
        <w:tc>
          <w:tcPr>
            <w:tcW w:w="2500" w:type="pct"/>
          </w:tcPr>
          <w:p w14:paraId="0337930E" w14:textId="77777777" w:rsidR="00EA79BF" w:rsidRPr="003175D9" w:rsidRDefault="00EA79BF" w:rsidP="00EE71C7">
            <w:pPr>
              <w:pStyle w:val="TableNormal1"/>
              <w:rPr>
                <w:b/>
                <w:bCs/>
                <w:lang w:val="en-GB"/>
              </w:rPr>
            </w:pPr>
            <w:r w:rsidRPr="003175D9">
              <w:rPr>
                <w:b/>
                <w:bCs/>
                <w:lang w:val="en-GB"/>
              </w:rPr>
              <w:lastRenderedPageBreak/>
              <w:t>Impact of Sri Lankan Elections on Stakeholder Availability</w:t>
            </w:r>
          </w:p>
          <w:p w14:paraId="06114061" w14:textId="77777777" w:rsidR="00EA79BF" w:rsidRPr="007A5C5F" w:rsidRDefault="00EA79BF" w:rsidP="00EE71C7">
            <w:pPr>
              <w:pStyle w:val="TableNormal1"/>
              <w:rPr>
                <w:lang w:val="en-GB"/>
              </w:rPr>
            </w:pPr>
            <w:r w:rsidRPr="003175D9">
              <w:rPr>
                <w:b/>
                <w:bCs/>
                <w:lang w:val="en-GB"/>
              </w:rPr>
              <w:t>Challenge:</w:t>
            </w:r>
            <w:r w:rsidRPr="003175D9">
              <w:rPr>
                <w:lang w:val="en-GB"/>
              </w:rPr>
              <w:t xml:space="preserve"> The </w:t>
            </w:r>
            <w:r w:rsidRPr="007A5C5F">
              <w:rPr>
                <w:lang w:val="en-GB"/>
              </w:rPr>
              <w:t xml:space="preserve">2024 </w:t>
            </w:r>
            <w:r w:rsidRPr="003175D9">
              <w:rPr>
                <w:lang w:val="en-GB"/>
              </w:rPr>
              <w:t>elections in Sri Lanka significantly affected the availability of government officials, causing delays in securing interviews.</w:t>
            </w:r>
          </w:p>
        </w:tc>
        <w:tc>
          <w:tcPr>
            <w:tcW w:w="2500" w:type="pct"/>
          </w:tcPr>
          <w:p w14:paraId="5EDF76DF" w14:textId="77777777" w:rsidR="00EA79BF" w:rsidRPr="003175D9" w:rsidRDefault="00EA79BF" w:rsidP="00EE71C7">
            <w:pPr>
              <w:pStyle w:val="TableNormal1"/>
              <w:jc w:val="both"/>
              <w:rPr>
                <w:lang w:val="en-GB"/>
              </w:rPr>
            </w:pPr>
            <w:r w:rsidRPr="003175D9">
              <w:rPr>
                <w:lang w:val="en-GB"/>
              </w:rPr>
              <w:t xml:space="preserve">The evaluation team proactively engaged with alternative sources, such as </w:t>
            </w:r>
            <w:r w:rsidRPr="003175D9">
              <w:rPr>
                <w:b/>
                <w:bCs/>
                <w:lang w:val="en-GB"/>
              </w:rPr>
              <w:t>civil society representatives and technical experts</w:t>
            </w:r>
            <w:r w:rsidRPr="003175D9">
              <w:rPr>
                <w:lang w:val="en-GB"/>
              </w:rPr>
              <w:t>, to gather relevant insights in the interim. Follow-ups were scheduled post-election to ensure comprehensive data collection.</w:t>
            </w:r>
          </w:p>
          <w:p w14:paraId="3DE02B3C" w14:textId="77777777" w:rsidR="00EA79BF" w:rsidRPr="007A5C5F" w:rsidRDefault="00EA79BF" w:rsidP="00EE71C7">
            <w:pPr>
              <w:pStyle w:val="TableNormal1"/>
              <w:jc w:val="both"/>
              <w:rPr>
                <w:lang w:val="en-GB"/>
              </w:rPr>
            </w:pPr>
          </w:p>
        </w:tc>
      </w:tr>
    </w:tbl>
    <w:p w14:paraId="0FF0CD55" w14:textId="77777777" w:rsidR="001E4170" w:rsidRPr="007A5C5F" w:rsidRDefault="001E4170" w:rsidP="003724A8">
      <w:pPr>
        <w:rPr>
          <w:lang w:val="en-GB"/>
        </w:rPr>
        <w:sectPr w:rsidR="001E4170" w:rsidRPr="007A5C5F" w:rsidSect="000509B3">
          <w:headerReference w:type="first" r:id="rId29"/>
          <w:footerReference w:type="first" r:id="rId30"/>
          <w:pgSz w:w="11894" w:h="16834"/>
          <w:pgMar w:top="1440" w:right="1152" w:bottom="1152" w:left="1152" w:header="706" w:footer="706" w:gutter="0"/>
          <w:pgNumType w:start="1"/>
          <w:cols w:space="708"/>
          <w:titlePg/>
          <w:docGrid w:linePitch="360"/>
        </w:sectPr>
      </w:pPr>
    </w:p>
    <w:p w14:paraId="27F2A81E" w14:textId="2BFD7299" w:rsidR="003724A8" w:rsidRPr="007A5C5F" w:rsidRDefault="003724A8" w:rsidP="00620C0F">
      <w:pPr>
        <w:pStyle w:val="Heading1"/>
        <w:jc w:val="center"/>
        <w:rPr>
          <w:rFonts w:ascii="Times New Roman" w:hAnsi="Times New Roman" w:cs="Times New Roman"/>
          <w:lang w:val="en-GB"/>
        </w:rPr>
      </w:pPr>
      <w:bookmarkStart w:id="18" w:name="_Toc188348257"/>
      <w:r w:rsidRPr="007A5C5F">
        <w:rPr>
          <w:rFonts w:ascii="Times New Roman" w:hAnsi="Times New Roman" w:cs="Times New Roman"/>
          <w:lang w:val="en-GB"/>
        </w:rPr>
        <w:lastRenderedPageBreak/>
        <w:t>II.  EVALUATION FINDINGS</w:t>
      </w:r>
      <w:bookmarkEnd w:id="18"/>
    </w:p>
    <w:p w14:paraId="12437887" w14:textId="1DCE4314" w:rsidR="009E2B5C" w:rsidRPr="00ED60BB" w:rsidRDefault="009E2B5C" w:rsidP="009E2B5C">
      <w:pPr>
        <w:ind w:left="360" w:hanging="360"/>
        <w:jc w:val="both"/>
        <w:rPr>
          <w:sz w:val="22"/>
          <w:szCs w:val="22"/>
          <w:lang w:val="en-GB"/>
        </w:rPr>
      </w:pPr>
      <w:r w:rsidRPr="00ED60BB">
        <w:rPr>
          <w:sz w:val="22"/>
          <w:szCs w:val="22"/>
          <w:lang w:val="en-GB"/>
        </w:rPr>
        <w:t xml:space="preserve">      This chapter presents the analysis and findings of the evaluation grouped around each </w:t>
      </w:r>
      <w:r w:rsidR="00EC57B7" w:rsidRPr="00ED60BB">
        <w:rPr>
          <w:sz w:val="22"/>
          <w:szCs w:val="22"/>
          <w:lang w:val="en-GB"/>
        </w:rPr>
        <w:t>criterion</w:t>
      </w:r>
      <w:r w:rsidRPr="00ED60BB">
        <w:rPr>
          <w:sz w:val="22"/>
          <w:szCs w:val="22"/>
          <w:lang w:val="en-GB"/>
        </w:rPr>
        <w:t xml:space="preserve"> and based on the analysis of the qualitative and quantitative data collected. Each </w:t>
      </w:r>
      <w:r w:rsidR="00597CD7" w:rsidRPr="00ED60BB">
        <w:rPr>
          <w:sz w:val="22"/>
          <w:szCs w:val="22"/>
          <w:lang w:val="en-GB"/>
        </w:rPr>
        <w:t>key evaluation question</w:t>
      </w:r>
      <w:r w:rsidRPr="00ED60BB">
        <w:rPr>
          <w:sz w:val="22"/>
          <w:szCs w:val="22"/>
          <w:lang w:val="en-GB"/>
        </w:rPr>
        <w:t xml:space="preserve"> is answered within the narrative</w:t>
      </w:r>
      <w:r w:rsidR="00597CD7" w:rsidRPr="00ED60BB">
        <w:rPr>
          <w:sz w:val="22"/>
          <w:szCs w:val="22"/>
          <w:lang w:val="en-GB"/>
        </w:rPr>
        <w:t>,</w:t>
      </w:r>
      <w:r w:rsidRPr="00ED60BB">
        <w:rPr>
          <w:sz w:val="22"/>
          <w:szCs w:val="22"/>
          <w:lang w:val="en-GB"/>
        </w:rPr>
        <w:t xml:space="preserve"> and the analysis and findings are also informed by the guiding questions provided in the ToR, which are included at the start of each sub-section.</w:t>
      </w:r>
    </w:p>
    <w:p w14:paraId="5B1CB42C" w14:textId="5F063309" w:rsidR="003724A8" w:rsidRPr="007A5C5F" w:rsidRDefault="003724A8" w:rsidP="007A5C5F">
      <w:pPr>
        <w:pStyle w:val="Heading3"/>
        <w:rPr>
          <w:lang w:val="en-GB"/>
        </w:rPr>
      </w:pPr>
      <w:bookmarkStart w:id="19" w:name="_Toc188348258"/>
      <w:r w:rsidRPr="007A5C5F">
        <w:rPr>
          <w:lang w:val="en-GB"/>
        </w:rPr>
        <w:t>RELEVANCE</w:t>
      </w:r>
      <w:bookmarkEnd w:id="19"/>
    </w:p>
    <w:p w14:paraId="47431B60" w14:textId="77777777" w:rsidR="00FA7249" w:rsidRPr="007A5C5F" w:rsidRDefault="003724A8" w:rsidP="00FA7249">
      <w:pPr>
        <w:tabs>
          <w:tab w:val="num" w:pos="1440"/>
        </w:tabs>
        <w:rPr>
          <w:lang w:val="en-GB"/>
        </w:rPr>
      </w:pPr>
      <w:r w:rsidRPr="007A5C5F">
        <w:rPr>
          <w:lang w:val="en-GB"/>
        </w:rPr>
        <w:t>EVALUATION QUESTIONS:</w:t>
      </w:r>
      <w:r w:rsidR="00F35FC4" w:rsidRPr="007A5C5F">
        <w:rPr>
          <w:lang w:val="en-GB"/>
        </w:rPr>
        <w:t xml:space="preserve"> </w:t>
      </w:r>
    </w:p>
    <w:p w14:paraId="2C53DD84" w14:textId="3FE1749A" w:rsidR="00A6714C" w:rsidRPr="00ED60BB" w:rsidRDefault="00A6714C" w:rsidP="00A33CF5">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To what extent is the JURE Project aligned with national development priorities, UNDP and UNICEF country programmes, and the Sustainable Development Goals (SDGs)</w:t>
      </w:r>
    </w:p>
    <w:p w14:paraId="6B8E30F8" w14:textId="77777777" w:rsidR="00A6714C" w:rsidRPr="00ED60BB" w:rsidRDefault="00A6714C" w:rsidP="00A33CF5">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Has the project been responsive and adaptable to changing legal, political, social, and economic contexts in Sri Lanka?</w:t>
      </w:r>
    </w:p>
    <w:p w14:paraId="48F9798D" w14:textId="77777777" w:rsidR="00A6714C" w:rsidRPr="00ED60BB" w:rsidRDefault="00A6714C" w:rsidP="00A33CF5">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How effectively has the project addressed the needs of target beneficiaries, especially vulnerable populations, in enhancing access to justice and strengthening the rule of law?</w:t>
      </w:r>
    </w:p>
    <w:p w14:paraId="53015B06" w14:textId="77777777" w:rsidR="005961C3" w:rsidRPr="00ED60BB" w:rsidRDefault="005961C3" w:rsidP="005961C3">
      <w:pPr>
        <w:pStyle w:val="ListParagraph"/>
        <w:numPr>
          <w:ilvl w:val="0"/>
          <w:numId w:val="0"/>
        </w:numPr>
        <w:adjustRightInd/>
        <w:snapToGrid/>
        <w:spacing w:after="0"/>
        <w:ind w:left="720"/>
        <w:rPr>
          <w:b/>
          <w:bCs/>
          <w:i/>
          <w:iCs/>
          <w:color w:val="70AD47" w:themeColor="accent6"/>
          <w:sz w:val="22"/>
          <w:szCs w:val="22"/>
          <w:lang w:val="en-GB"/>
        </w:rPr>
      </w:pPr>
    </w:p>
    <w:tbl>
      <w:tblPr>
        <w:tblStyle w:val="IESTable"/>
        <w:tblW w:w="0" w:type="auto"/>
        <w:tblInd w:w="137" w:type="dxa"/>
        <w:tblLook w:val="04A0" w:firstRow="1" w:lastRow="0" w:firstColumn="1" w:lastColumn="0" w:noHBand="0" w:noVBand="1"/>
      </w:tblPr>
      <w:tblGrid>
        <w:gridCol w:w="9443"/>
      </w:tblGrid>
      <w:tr w:rsidR="005961C3" w:rsidRPr="007A5C5F" w14:paraId="543DFA61" w14:textId="77777777" w:rsidTr="005961C3">
        <w:trPr>
          <w:cnfStyle w:val="100000000000" w:firstRow="1" w:lastRow="0" w:firstColumn="0" w:lastColumn="0" w:oddVBand="0" w:evenVBand="0" w:oddHBand="0" w:evenHBand="0" w:firstRowFirstColumn="0" w:firstRowLastColumn="0" w:lastRowFirstColumn="0" w:lastRowLastColumn="0"/>
        </w:trPr>
        <w:tc>
          <w:tcPr>
            <w:tcW w:w="9443" w:type="dxa"/>
          </w:tcPr>
          <w:p w14:paraId="6B66725B" w14:textId="3713711B" w:rsidR="005961C3" w:rsidRPr="007A5C5F" w:rsidRDefault="005961C3" w:rsidP="005961C3">
            <w:pPr>
              <w:adjustRightInd w:val="0"/>
              <w:snapToGrid w:val="0"/>
              <w:spacing w:after="120"/>
              <w:jc w:val="both"/>
              <w:rPr>
                <w:lang w:val="en-GB"/>
              </w:rPr>
            </w:pPr>
            <w:r w:rsidRPr="007A5C5F">
              <w:rPr>
                <w:b/>
                <w:lang w:val="en-GB"/>
              </w:rPr>
              <w:t>Rationale</w:t>
            </w:r>
            <w:r w:rsidRPr="007A5C5F">
              <w:rPr>
                <w:lang w:val="en-GB"/>
              </w:rPr>
              <w:t>: Relevance assesses whether the project design, objectives, and interventions are appropriately aligned with the country’s justice needs, legal priorities, and broader developmental goals. It examines the project's ability to remain pertinent amidst evolving contexts, ensuring that its initiatives directly contribute to real-world challenges.</w:t>
            </w:r>
          </w:p>
        </w:tc>
      </w:tr>
    </w:tbl>
    <w:p w14:paraId="204E6227" w14:textId="77777777" w:rsidR="005961C3" w:rsidRPr="007A5C5F" w:rsidRDefault="005961C3" w:rsidP="005961C3">
      <w:pPr>
        <w:pStyle w:val="ListParagraph"/>
        <w:numPr>
          <w:ilvl w:val="0"/>
          <w:numId w:val="0"/>
        </w:numPr>
        <w:adjustRightInd/>
        <w:snapToGrid/>
        <w:spacing w:after="0"/>
        <w:ind w:left="720"/>
        <w:rPr>
          <w:b/>
          <w:bCs/>
          <w:i/>
          <w:iCs/>
          <w:color w:val="70AD47" w:themeColor="accent6"/>
          <w:lang w:val="en-GB"/>
        </w:rPr>
      </w:pPr>
    </w:p>
    <w:p w14:paraId="5A5C1C52" w14:textId="75C5CFF8" w:rsidR="00F82055" w:rsidRPr="007A5C5F" w:rsidRDefault="00512222" w:rsidP="00A33CF5">
      <w:pPr>
        <w:pStyle w:val="ListParagraph"/>
        <w:numPr>
          <w:ilvl w:val="0"/>
          <w:numId w:val="49"/>
        </w:numPr>
        <w:jc w:val="both"/>
        <w:rPr>
          <w:rFonts w:eastAsia="SimSun"/>
          <w:b/>
          <w:bCs/>
          <w:color w:val="000000" w:themeColor="text1"/>
          <w:sz w:val="22"/>
          <w:szCs w:val="22"/>
          <w:lang w:val="en-GB" w:eastAsia="zh-CN"/>
        </w:rPr>
      </w:pPr>
      <w:r w:rsidRPr="007A5C5F">
        <w:rPr>
          <w:b/>
          <w:bCs/>
          <w:color w:val="000000" w:themeColor="text1"/>
          <w:sz w:val="22"/>
          <w:szCs w:val="22"/>
          <w:lang w:val="en-GB"/>
        </w:rPr>
        <w:t>Finding</w:t>
      </w:r>
      <w:r w:rsidR="004D7B3C" w:rsidRPr="007A5C5F">
        <w:rPr>
          <w:b/>
          <w:bCs/>
          <w:color w:val="000000" w:themeColor="text1"/>
          <w:sz w:val="22"/>
          <w:szCs w:val="22"/>
          <w:lang w:val="en-GB"/>
        </w:rPr>
        <w:t xml:space="preserve"> 1.</w:t>
      </w:r>
      <w:r w:rsidRPr="007A5C5F">
        <w:rPr>
          <w:rFonts w:eastAsia="SimSun"/>
          <w:b/>
          <w:bCs/>
          <w:color w:val="000000" w:themeColor="text1"/>
          <w:sz w:val="22"/>
          <w:szCs w:val="22"/>
          <w:lang w:val="en-GB" w:eastAsia="zh-CN"/>
        </w:rPr>
        <w:t xml:space="preserve"> JURE’s comprehensive focus on legal empowerment, capacity building, and institutional reforms </w:t>
      </w:r>
      <w:r w:rsidR="004D7B3C" w:rsidRPr="007A5C5F">
        <w:rPr>
          <w:b/>
          <w:bCs/>
          <w:color w:val="000000" w:themeColor="text1"/>
          <w:sz w:val="22"/>
          <w:szCs w:val="22"/>
          <w:lang w:val="en-GB"/>
        </w:rPr>
        <w:t xml:space="preserve">in Sri Lanka </w:t>
      </w:r>
      <w:r w:rsidRPr="007A5C5F">
        <w:rPr>
          <w:rFonts w:eastAsia="SimSun"/>
          <w:b/>
          <w:bCs/>
          <w:color w:val="000000" w:themeColor="text1"/>
          <w:sz w:val="22"/>
          <w:szCs w:val="22"/>
          <w:lang w:val="en-GB" w:eastAsia="zh-CN"/>
        </w:rPr>
        <w:t xml:space="preserve">ensures its relevance to </w:t>
      </w:r>
      <w:r w:rsidR="004D7B3C" w:rsidRPr="007A5C5F">
        <w:rPr>
          <w:b/>
          <w:bCs/>
          <w:color w:val="000000" w:themeColor="text1"/>
          <w:sz w:val="22"/>
          <w:szCs w:val="22"/>
          <w:lang w:val="en-GB"/>
        </w:rPr>
        <w:t xml:space="preserve">national and </w:t>
      </w:r>
      <w:r w:rsidRPr="007A5C5F">
        <w:rPr>
          <w:rFonts w:eastAsia="SimSun"/>
          <w:b/>
          <w:bCs/>
          <w:color w:val="000000" w:themeColor="text1"/>
          <w:sz w:val="22"/>
          <w:szCs w:val="22"/>
          <w:lang w:val="en-GB" w:eastAsia="zh-CN"/>
        </w:rPr>
        <w:t>global development priorities. The project’s integration of SDG 16.3 and the New European Consensus on Development (2017) into its design demonstrates its commitment to promoting equitable, transparent, and effective justice systems.</w:t>
      </w:r>
    </w:p>
    <w:p w14:paraId="0AFB8A31" w14:textId="2460189C" w:rsidR="00F82055" w:rsidRPr="007A5C5F" w:rsidRDefault="00F82055" w:rsidP="00F82055">
      <w:pPr>
        <w:pStyle w:val="ListParagraph"/>
        <w:numPr>
          <w:ilvl w:val="0"/>
          <w:numId w:val="49"/>
        </w:numPr>
        <w:jc w:val="both"/>
        <w:rPr>
          <w:color w:val="000000" w:themeColor="text1"/>
          <w:sz w:val="22"/>
          <w:szCs w:val="22"/>
          <w:lang w:val="en-GB"/>
        </w:rPr>
      </w:pPr>
      <w:r w:rsidRPr="007A5C5F">
        <w:rPr>
          <w:color w:val="000000" w:themeColor="text1"/>
          <w:sz w:val="22"/>
          <w:szCs w:val="22"/>
          <w:lang w:val="en-GB"/>
        </w:rPr>
        <w:t xml:space="preserve"> </w:t>
      </w:r>
      <w:r w:rsidRPr="007A5C5F">
        <w:rPr>
          <w:color w:val="000000" w:themeColor="text1"/>
          <w:sz w:val="22"/>
          <w:szCs w:val="22"/>
          <w:u w:val="single"/>
          <w:lang w:val="en-GB"/>
        </w:rPr>
        <w:t>Alignment with National Development Priorities.</w:t>
      </w:r>
      <w:r w:rsidRPr="007A5C5F">
        <w:rPr>
          <w:color w:val="000000" w:themeColor="text1"/>
          <w:sz w:val="22"/>
          <w:szCs w:val="22"/>
          <w:lang w:val="en-GB"/>
        </w:rPr>
        <w:t xml:space="preserve"> The project directly supports Sri Lanka’s priority of strengthening the justice sector to enhance governance, accountability, and transparency. By addressing critical gaps in justice delivery, including the </w:t>
      </w:r>
      <w:r w:rsidRPr="00C900FD">
        <w:rPr>
          <w:b/>
          <w:bCs/>
          <w:color w:val="000000" w:themeColor="text1"/>
          <w:sz w:val="22"/>
          <w:szCs w:val="22"/>
          <w:lang w:val="en-GB"/>
        </w:rPr>
        <w:t>protection of victims and witnesses</w:t>
      </w:r>
      <w:r w:rsidRPr="007A5C5F">
        <w:rPr>
          <w:color w:val="000000" w:themeColor="text1"/>
          <w:sz w:val="22"/>
          <w:szCs w:val="22"/>
          <w:lang w:val="en-GB"/>
        </w:rPr>
        <w:t xml:space="preserve">, legal aid for </w:t>
      </w:r>
      <w:r w:rsidRPr="00C900FD">
        <w:rPr>
          <w:b/>
          <w:bCs/>
          <w:color w:val="000000" w:themeColor="text1"/>
          <w:sz w:val="22"/>
          <w:szCs w:val="22"/>
          <w:lang w:val="en-GB"/>
        </w:rPr>
        <w:t>vulnerable groups</w:t>
      </w:r>
      <w:r w:rsidRPr="007A5C5F">
        <w:rPr>
          <w:color w:val="000000" w:themeColor="text1"/>
          <w:sz w:val="22"/>
          <w:szCs w:val="22"/>
          <w:lang w:val="en-GB"/>
        </w:rPr>
        <w:t>, and capacity building for judicial and anti-corruption institutions, JURE aligns with the country's governance and development objectives. For instance</w:t>
      </w:r>
      <w:r w:rsidR="00597CD7">
        <w:rPr>
          <w:color w:val="000000" w:themeColor="text1"/>
          <w:sz w:val="22"/>
          <w:szCs w:val="22"/>
          <w:lang w:val="en-GB"/>
        </w:rPr>
        <w:t>,</w:t>
      </w:r>
      <w:r w:rsidRPr="007A5C5F">
        <w:rPr>
          <w:color w:val="000000" w:themeColor="text1"/>
          <w:sz w:val="22"/>
          <w:szCs w:val="22"/>
          <w:lang w:val="en-GB"/>
        </w:rPr>
        <w:t xml:space="preserve"> </w:t>
      </w:r>
      <w:r w:rsidRPr="007A5C5F">
        <w:rPr>
          <w:rFonts w:eastAsia="SimSun"/>
          <w:color w:val="000000" w:themeColor="text1"/>
          <w:sz w:val="22"/>
          <w:szCs w:val="22"/>
          <w:lang w:val="en-GB" w:eastAsia="zh-CN"/>
        </w:rPr>
        <w:t xml:space="preserve">Amendments to the Assistance to and </w:t>
      </w:r>
      <w:r w:rsidRPr="007A5C5F">
        <w:rPr>
          <w:rFonts w:eastAsia="SimSun"/>
          <w:b/>
          <w:bCs/>
          <w:color w:val="000000" w:themeColor="text1"/>
          <w:sz w:val="22"/>
          <w:szCs w:val="22"/>
          <w:lang w:val="en-GB" w:eastAsia="zh-CN"/>
        </w:rPr>
        <w:t xml:space="preserve">Protection of Victims of Crime and Witnesses Act, No. 10 and the Children and Young Persons Ordinance (CYPO) 1939 </w:t>
      </w:r>
      <w:r w:rsidRPr="007A5C5F">
        <w:rPr>
          <w:rFonts w:eastAsia="SimSun"/>
          <w:color w:val="000000" w:themeColor="text1"/>
          <w:sz w:val="22"/>
          <w:szCs w:val="22"/>
          <w:lang w:val="en-GB" w:eastAsia="zh-CN"/>
        </w:rPr>
        <w:t>strengthen legal frameworks for vulnerable populations</w:t>
      </w:r>
      <w:r w:rsidR="00597CD7">
        <w:rPr>
          <w:rFonts w:eastAsia="SimSun"/>
          <w:color w:val="000000" w:themeColor="text1"/>
          <w:sz w:val="22"/>
          <w:szCs w:val="22"/>
          <w:lang w:val="en-GB" w:eastAsia="zh-CN"/>
        </w:rPr>
        <w:t>.</w:t>
      </w:r>
      <w:r w:rsidRPr="007A5C5F">
        <w:rPr>
          <w:rFonts w:eastAsia="SimSun"/>
          <w:color w:val="000000" w:themeColor="text1"/>
          <w:sz w:val="22"/>
          <w:szCs w:val="22"/>
          <w:lang w:val="en-GB" w:eastAsia="zh-CN"/>
        </w:rPr>
        <w:t xml:space="preserve"> The child-friendly hearing room at the National Authority ensures safe and supportive environments for </w:t>
      </w:r>
      <w:r w:rsidRPr="00C900FD">
        <w:rPr>
          <w:rFonts w:eastAsia="SimSun"/>
          <w:b/>
          <w:bCs/>
          <w:color w:val="000000" w:themeColor="text1"/>
          <w:sz w:val="22"/>
          <w:szCs w:val="22"/>
          <w:lang w:val="en-GB" w:eastAsia="zh-CN"/>
        </w:rPr>
        <w:t>victims and witnesses, addressing the national commitment to child protection</w:t>
      </w:r>
      <w:r w:rsidRPr="007A5C5F">
        <w:rPr>
          <w:rFonts w:eastAsia="SimSun"/>
          <w:color w:val="000000" w:themeColor="text1"/>
          <w:sz w:val="22"/>
          <w:szCs w:val="22"/>
          <w:lang w:val="en-GB" w:eastAsia="zh-CN"/>
        </w:rPr>
        <w:t xml:space="preserve"> and justice reform</w:t>
      </w:r>
      <w:r w:rsidR="00736936" w:rsidRPr="007A5C5F">
        <w:rPr>
          <w:rStyle w:val="FootnoteReference"/>
          <w:rFonts w:eastAsia="SimSun"/>
          <w:color w:val="000000" w:themeColor="text1"/>
          <w:sz w:val="22"/>
          <w:szCs w:val="22"/>
          <w:lang w:val="en-GB" w:eastAsia="zh-CN"/>
        </w:rPr>
        <w:footnoteReference w:id="35"/>
      </w:r>
      <w:r w:rsidRPr="007A5C5F">
        <w:rPr>
          <w:rFonts w:eastAsia="SimSun"/>
          <w:color w:val="000000" w:themeColor="text1"/>
          <w:sz w:val="22"/>
          <w:szCs w:val="22"/>
          <w:lang w:val="en-GB" w:eastAsia="zh-CN"/>
        </w:rPr>
        <w:t>.</w:t>
      </w:r>
    </w:p>
    <w:p w14:paraId="52E8E4E8" w14:textId="682BF3A8" w:rsidR="00F82055" w:rsidRPr="00C900FD" w:rsidRDefault="00F82055" w:rsidP="00F73416">
      <w:pPr>
        <w:pStyle w:val="ListParagraph"/>
        <w:numPr>
          <w:ilvl w:val="0"/>
          <w:numId w:val="49"/>
        </w:numPr>
        <w:jc w:val="both"/>
        <w:rPr>
          <w:rFonts w:eastAsia="SimSun"/>
          <w:color w:val="000000" w:themeColor="text1"/>
          <w:sz w:val="22"/>
          <w:szCs w:val="22"/>
          <w:lang w:eastAsia="zh-CN"/>
        </w:rPr>
      </w:pPr>
      <w:r w:rsidRPr="007A5C5F">
        <w:rPr>
          <w:color w:val="000000" w:themeColor="text1"/>
          <w:sz w:val="22"/>
          <w:szCs w:val="22"/>
          <w:u w:val="single"/>
          <w:lang w:val="en-GB"/>
        </w:rPr>
        <w:t>Alignment with UNDP and UNICEF Country Programs.</w:t>
      </w:r>
      <w:r w:rsidRPr="007A5C5F">
        <w:rPr>
          <w:color w:val="000000" w:themeColor="text1"/>
          <w:sz w:val="22"/>
          <w:szCs w:val="22"/>
          <w:lang w:val="en-GB"/>
        </w:rPr>
        <w:t xml:space="preserve"> The project contributes significantly to the goals of both UNDP and UNICEF country programs: </w:t>
      </w:r>
      <w:r w:rsidR="00C52F63" w:rsidRPr="007A5C5F">
        <w:rPr>
          <w:color w:val="000000" w:themeColor="text1"/>
          <w:sz w:val="22"/>
          <w:szCs w:val="22"/>
          <w:lang w:val="en-GB"/>
        </w:rPr>
        <w:t>i)</w:t>
      </w:r>
      <w:r w:rsidR="00C52F63" w:rsidRPr="007A5C5F">
        <w:rPr>
          <w:rFonts w:eastAsia="SimSun"/>
          <w:color w:val="000000" w:themeColor="text1"/>
          <w:sz w:val="22"/>
          <w:szCs w:val="22"/>
          <w:lang w:val="en-GB" w:eastAsia="zh-CN"/>
        </w:rPr>
        <w:t xml:space="preserve"> UNDP’s</w:t>
      </w:r>
      <w:r w:rsidRPr="007A5C5F">
        <w:rPr>
          <w:rFonts w:eastAsia="SimSun"/>
          <w:color w:val="000000" w:themeColor="text1"/>
          <w:sz w:val="22"/>
          <w:szCs w:val="22"/>
          <w:lang w:val="en-GB" w:eastAsia="zh-CN"/>
        </w:rPr>
        <w:t xml:space="preserve"> focus on governance and anti-corruption is evident in the training of 506 integrity officers and the integration of anti-corruption and integrity modules into public officer training programs in collaboration with the Ministry of Public Administration. These initiatives demonstrate a long-term strategy for systemic reform in governance and accountability;</w:t>
      </w:r>
      <w:r w:rsidR="009E2B5C" w:rsidRPr="007A5C5F">
        <w:rPr>
          <w:rFonts w:eastAsia="SimSun"/>
          <w:color w:val="000000" w:themeColor="text1"/>
          <w:sz w:val="22"/>
          <w:szCs w:val="22"/>
          <w:lang w:val="en-GB" w:eastAsia="zh-CN"/>
        </w:rPr>
        <w:t xml:space="preserve"> </w:t>
      </w:r>
      <w:r w:rsidRPr="007A5C5F">
        <w:rPr>
          <w:rFonts w:eastAsia="SimSun"/>
          <w:color w:val="000000" w:themeColor="text1"/>
          <w:sz w:val="22"/>
          <w:szCs w:val="22"/>
          <w:lang w:val="en-GB" w:eastAsia="zh-CN"/>
        </w:rPr>
        <w:t>ii)</w:t>
      </w:r>
      <w:r w:rsidR="00F73416" w:rsidRPr="00F73416">
        <w:rPr>
          <w:i/>
          <w:iCs/>
        </w:rPr>
        <w:t xml:space="preserve"> </w:t>
      </w:r>
      <w:r w:rsidRPr="00C900FD">
        <w:rPr>
          <w:rFonts w:eastAsia="SimSun"/>
          <w:color w:val="000000" w:themeColor="text1"/>
          <w:sz w:val="22"/>
          <w:szCs w:val="22"/>
          <w:lang w:val="en-GB" w:eastAsia="zh-CN"/>
        </w:rPr>
        <w:t>UNICEF’s mandate for child protection is fulfilled through the design of child-friendly judicial processes, including the hearing room equipped with audio-visual facilities for remote testimony;</w:t>
      </w:r>
      <w:r w:rsidR="009E2B5C" w:rsidRPr="00C900FD">
        <w:rPr>
          <w:rFonts w:eastAsia="SimSun"/>
          <w:color w:val="000000" w:themeColor="text1"/>
          <w:sz w:val="22"/>
          <w:szCs w:val="22"/>
          <w:lang w:val="en-GB" w:eastAsia="zh-CN"/>
        </w:rPr>
        <w:t xml:space="preserve"> </w:t>
      </w:r>
      <w:r w:rsidRPr="00C900FD">
        <w:rPr>
          <w:rFonts w:eastAsia="SimSun"/>
          <w:color w:val="000000" w:themeColor="text1"/>
          <w:sz w:val="22"/>
          <w:szCs w:val="22"/>
          <w:lang w:val="en-GB" w:eastAsia="zh-CN"/>
        </w:rPr>
        <w:t>iii) Capacity-building interventions for key justice institutions, such as the Legal Aid Commission (LAC), Judges’ Institute, and Ministry of Justice, align with both agencies’ emphasis on institutional strengthening and inclusive justice delivery.</w:t>
      </w:r>
    </w:p>
    <w:p w14:paraId="43B3277D" w14:textId="4DDBD841" w:rsidR="00F82055" w:rsidRPr="007A5C5F" w:rsidRDefault="00F82055" w:rsidP="00F82055">
      <w:pPr>
        <w:pStyle w:val="ListParagraph"/>
        <w:numPr>
          <w:ilvl w:val="0"/>
          <w:numId w:val="49"/>
        </w:numPr>
        <w:jc w:val="both"/>
        <w:rPr>
          <w:rFonts w:eastAsia="SimSun"/>
          <w:b/>
          <w:bCs/>
          <w:color w:val="000000" w:themeColor="text1"/>
          <w:sz w:val="22"/>
          <w:szCs w:val="22"/>
          <w:lang w:val="en-GB" w:eastAsia="zh-CN"/>
        </w:rPr>
      </w:pPr>
      <w:r w:rsidRPr="007A5C5F">
        <w:rPr>
          <w:color w:val="000000" w:themeColor="text1"/>
          <w:sz w:val="22"/>
          <w:szCs w:val="22"/>
          <w:u w:val="single"/>
          <w:lang w:val="en-GB"/>
        </w:rPr>
        <w:t>Alignment with the SDGs. The</w:t>
      </w:r>
      <w:r w:rsidRPr="007A5C5F">
        <w:rPr>
          <w:rFonts w:eastAsia="SimSun"/>
          <w:color w:val="000000" w:themeColor="text1"/>
          <w:sz w:val="22"/>
          <w:szCs w:val="22"/>
          <w:lang w:val="en-GB" w:eastAsia="zh-CN"/>
        </w:rPr>
        <w:t xml:space="preserve"> JURE Project directly contributes to the following SDGs: i) </w:t>
      </w:r>
      <w:r w:rsidRPr="00C900FD">
        <w:rPr>
          <w:rFonts w:eastAsia="SimSun"/>
          <w:b/>
          <w:bCs/>
          <w:color w:val="000000" w:themeColor="text1"/>
          <w:sz w:val="22"/>
          <w:szCs w:val="22"/>
          <w:lang w:val="en-GB" w:eastAsia="zh-CN"/>
        </w:rPr>
        <w:t>SDG 16</w:t>
      </w:r>
      <w:r w:rsidRPr="007A5C5F">
        <w:rPr>
          <w:rFonts w:eastAsia="SimSun"/>
          <w:color w:val="000000" w:themeColor="text1"/>
          <w:sz w:val="22"/>
          <w:szCs w:val="22"/>
          <w:lang w:val="en-GB" w:eastAsia="zh-CN"/>
        </w:rPr>
        <w:t xml:space="preserve"> (Peace, Justice, and Strong Institutions): The project’s focus on enhancing justice sector efficiency, transparency, and inclusiveness aligns with the goal of promoting peaceful and inclusive societies. Activities such as anti-corruption training, judicial reforms, and support for inter-agency cooperation </w:t>
      </w:r>
      <w:r w:rsidRPr="007A5C5F">
        <w:rPr>
          <w:rFonts w:eastAsia="SimSun"/>
          <w:color w:val="000000" w:themeColor="text1"/>
          <w:sz w:val="22"/>
          <w:szCs w:val="22"/>
          <w:lang w:val="en-GB" w:eastAsia="zh-CN"/>
        </w:rPr>
        <w:lastRenderedPageBreak/>
        <w:t xml:space="preserve">foster a more effective and accountable justice system; ii) </w:t>
      </w:r>
      <w:r w:rsidRPr="007A5C5F">
        <w:rPr>
          <w:rFonts w:eastAsia="SimSun"/>
          <w:b/>
          <w:bCs/>
          <w:color w:val="000000" w:themeColor="text1"/>
          <w:sz w:val="22"/>
          <w:szCs w:val="22"/>
          <w:lang w:val="en-GB" w:eastAsia="zh-CN"/>
        </w:rPr>
        <w:t>SDG 5 (Gender Equality</w:t>
      </w:r>
      <w:r w:rsidRPr="007A5C5F">
        <w:rPr>
          <w:rFonts w:eastAsia="SimSun"/>
          <w:color w:val="000000" w:themeColor="text1"/>
          <w:sz w:val="22"/>
          <w:szCs w:val="22"/>
          <w:lang w:val="en-GB" w:eastAsia="zh-CN"/>
        </w:rPr>
        <w:t xml:space="preserve">): Through initiatives like the participatory gender capacity assessment, the development of a Gender Action Plan, and support for the Women Lawyers’ Association, the project promotes gender-responsive justice services. The </w:t>
      </w:r>
      <w:r w:rsidRPr="007A5C5F">
        <w:rPr>
          <w:rFonts w:eastAsia="SimSun"/>
          <w:b/>
          <w:bCs/>
          <w:color w:val="000000" w:themeColor="text1"/>
          <w:sz w:val="22"/>
          <w:szCs w:val="22"/>
          <w:lang w:val="en-GB" w:eastAsia="zh-CN"/>
        </w:rPr>
        <w:t>formulation of the Multi-sectoral National Action Plan on SGBV (2024-2028)</w:t>
      </w:r>
      <w:r w:rsidRPr="007A5C5F">
        <w:rPr>
          <w:rFonts w:eastAsia="SimSun"/>
          <w:color w:val="000000" w:themeColor="text1"/>
          <w:sz w:val="22"/>
          <w:szCs w:val="22"/>
          <w:lang w:val="en-GB" w:eastAsia="zh-CN"/>
        </w:rPr>
        <w:t xml:space="preserve"> further demonstrates a commitment to addressing systemic gender disparities in the justice system: iii) </w:t>
      </w:r>
      <w:r w:rsidRPr="007A5C5F">
        <w:rPr>
          <w:rFonts w:eastAsia="SimSun"/>
          <w:b/>
          <w:bCs/>
          <w:color w:val="000000" w:themeColor="text1"/>
          <w:sz w:val="22"/>
          <w:szCs w:val="22"/>
          <w:lang w:val="en-GB" w:eastAsia="zh-CN"/>
        </w:rPr>
        <w:t xml:space="preserve">SDG 10 (Reduced Inequalities): </w:t>
      </w:r>
      <w:r w:rsidRPr="007A5C5F">
        <w:rPr>
          <w:rFonts w:eastAsia="SimSun"/>
          <w:color w:val="000000" w:themeColor="text1"/>
          <w:sz w:val="22"/>
          <w:szCs w:val="22"/>
          <w:lang w:val="en-GB" w:eastAsia="zh-CN"/>
        </w:rPr>
        <w:t xml:space="preserve">Legal aid, women’s shelter assistance, and </w:t>
      </w:r>
      <w:r w:rsidRPr="00C900FD">
        <w:rPr>
          <w:rFonts w:eastAsia="SimSun"/>
          <w:b/>
          <w:bCs/>
          <w:color w:val="000000" w:themeColor="text1"/>
          <w:sz w:val="22"/>
          <w:szCs w:val="22"/>
          <w:lang w:val="en-GB" w:eastAsia="zh-CN"/>
        </w:rPr>
        <w:t>targeted support for SGBV survivors</w:t>
      </w:r>
      <w:r w:rsidRPr="007A5C5F">
        <w:rPr>
          <w:rFonts w:eastAsia="SimSun"/>
          <w:color w:val="000000" w:themeColor="text1"/>
          <w:sz w:val="22"/>
          <w:szCs w:val="22"/>
          <w:lang w:val="en-GB" w:eastAsia="zh-CN"/>
        </w:rPr>
        <w:t xml:space="preserve"> enhance access to justice for marginalized groups, addressing structural inequalities and promoting inclusivity</w:t>
      </w:r>
      <w:r w:rsidR="00736936" w:rsidRPr="007A5C5F">
        <w:rPr>
          <w:rStyle w:val="FootnoteReference"/>
          <w:rFonts w:eastAsia="SimSun"/>
          <w:color w:val="000000" w:themeColor="text1"/>
          <w:sz w:val="22"/>
          <w:szCs w:val="22"/>
          <w:lang w:val="en-GB" w:eastAsia="zh-CN"/>
        </w:rPr>
        <w:footnoteReference w:id="36"/>
      </w:r>
      <w:r w:rsidRPr="007A5C5F">
        <w:rPr>
          <w:rFonts w:eastAsia="SimSun"/>
          <w:color w:val="000000" w:themeColor="text1"/>
          <w:sz w:val="22"/>
          <w:szCs w:val="22"/>
          <w:lang w:val="en-GB" w:eastAsia="zh-CN"/>
        </w:rPr>
        <w:t>.</w:t>
      </w:r>
    </w:p>
    <w:p w14:paraId="79372273" w14:textId="174346AC" w:rsidR="00F82055" w:rsidRPr="007A5C5F" w:rsidRDefault="00D65167" w:rsidP="00D65167">
      <w:pPr>
        <w:pStyle w:val="Caption"/>
        <w:rPr>
          <w:rFonts w:eastAsia="SimSun"/>
          <w:b/>
          <w:bCs/>
          <w:color w:val="000000" w:themeColor="text1"/>
          <w:sz w:val="22"/>
          <w:szCs w:val="22"/>
          <w:lang w:val="en-GB" w:eastAsia="zh-CN"/>
        </w:rPr>
      </w:pPr>
      <w:r w:rsidRPr="007A5C5F">
        <w:rPr>
          <w:lang w:val="en-GB"/>
        </w:rPr>
        <w:t xml:space="preserve">                 Figure </w:t>
      </w:r>
      <w:r w:rsidRPr="007A5C5F">
        <w:rPr>
          <w:lang w:val="en-GB"/>
        </w:rPr>
        <w:fldChar w:fldCharType="begin"/>
      </w:r>
      <w:r w:rsidRPr="007A5C5F">
        <w:rPr>
          <w:lang w:val="en-GB"/>
        </w:rPr>
        <w:instrText xml:space="preserve"> SEQ Figure \* ARABIC </w:instrText>
      </w:r>
      <w:r w:rsidRPr="007A5C5F">
        <w:rPr>
          <w:lang w:val="en-GB"/>
        </w:rPr>
        <w:fldChar w:fldCharType="separate"/>
      </w:r>
      <w:r w:rsidR="0095181E">
        <w:rPr>
          <w:noProof/>
          <w:lang w:val="en-GB"/>
        </w:rPr>
        <w:t>4</w:t>
      </w:r>
      <w:r w:rsidRPr="007A5C5F">
        <w:rPr>
          <w:lang w:val="en-GB"/>
        </w:rPr>
        <w:fldChar w:fldCharType="end"/>
      </w:r>
      <w:r w:rsidRPr="007A5C5F">
        <w:rPr>
          <w:lang w:val="en-GB"/>
        </w:rPr>
        <w:t xml:space="preserve"> Examples of JURE's relevant interventions to address the needs and gaps of the justice </w:t>
      </w:r>
      <w:r w:rsidR="009E2B5C" w:rsidRPr="007A5C5F">
        <w:rPr>
          <w:lang w:val="en-GB"/>
        </w:rPr>
        <w:t>system</w:t>
      </w:r>
      <w:r w:rsidRPr="007A5C5F">
        <w:rPr>
          <w:lang w:val="en-GB"/>
        </w:rPr>
        <w:t xml:space="preserve"> in Sri Lanka.</w:t>
      </w:r>
    </w:p>
    <w:tbl>
      <w:tblPr>
        <w:tblStyle w:val="IESTable"/>
        <w:tblW w:w="9213" w:type="dxa"/>
        <w:tblInd w:w="421" w:type="dxa"/>
        <w:tblLook w:val="04A0" w:firstRow="1" w:lastRow="0" w:firstColumn="1" w:lastColumn="0" w:noHBand="0" w:noVBand="1"/>
      </w:tblPr>
      <w:tblGrid>
        <w:gridCol w:w="9213"/>
      </w:tblGrid>
      <w:tr w:rsidR="00736936" w:rsidRPr="007A5C5F" w14:paraId="75490B2C" w14:textId="77777777" w:rsidTr="009E2B5C">
        <w:trPr>
          <w:cnfStyle w:val="100000000000" w:firstRow="1" w:lastRow="0" w:firstColumn="0" w:lastColumn="0" w:oddVBand="0" w:evenVBand="0" w:oddHBand="0" w:evenHBand="0" w:firstRowFirstColumn="0" w:firstRowLastColumn="0" w:lastRowFirstColumn="0" w:lastRowLastColumn="0"/>
        </w:trPr>
        <w:tc>
          <w:tcPr>
            <w:tcW w:w="9213" w:type="dxa"/>
          </w:tcPr>
          <w:p w14:paraId="0BDB21DB" w14:textId="77777777" w:rsidR="00D65167" w:rsidRPr="007A5C5F" w:rsidRDefault="00D65167" w:rsidP="00D65167">
            <w:pPr>
              <w:pStyle w:val="ListParagraph"/>
              <w:numPr>
                <w:ilvl w:val="0"/>
                <w:numId w:val="0"/>
              </w:numPr>
              <w:ind w:left="630"/>
              <w:jc w:val="both"/>
              <w:rPr>
                <w:lang w:val="en-GB"/>
              </w:rPr>
            </w:pPr>
          </w:p>
          <w:p w14:paraId="3787E2C3" w14:textId="0CDF3557" w:rsidR="00736936" w:rsidRPr="00ED60BB" w:rsidRDefault="00736936" w:rsidP="00597CD7">
            <w:pPr>
              <w:ind w:left="142" w:right="510"/>
              <w:jc w:val="both"/>
              <w:rPr>
                <w:sz w:val="20"/>
                <w:lang w:val="en-GB"/>
              </w:rPr>
            </w:pPr>
            <w:r w:rsidRPr="00ED60BB">
              <w:rPr>
                <w:sz w:val="20"/>
                <w:lang w:val="en-GB"/>
              </w:rPr>
              <w:t xml:space="preserve">JURE has demonstrated its relevance through targeted interventions aimed at </w:t>
            </w:r>
            <w:r w:rsidR="00597CD7" w:rsidRPr="00ED60BB">
              <w:rPr>
                <w:sz w:val="20"/>
                <w:lang w:val="en-GB"/>
              </w:rPr>
              <w:t xml:space="preserve">the </w:t>
            </w:r>
            <w:r w:rsidRPr="00ED60BB">
              <w:rPr>
                <w:sz w:val="20"/>
                <w:u w:val="single"/>
                <w:lang w:val="en-GB"/>
              </w:rPr>
              <w:t>Legal Empowerment of People and Access to Justice.</w:t>
            </w:r>
            <w:r w:rsidRPr="00ED60BB">
              <w:rPr>
                <w:sz w:val="20"/>
                <w:lang w:val="en-GB"/>
              </w:rPr>
              <w:t xml:space="preserve"> By simplifying and translating 30 key laws into Sinhala and Tamil, the project has made legal information accessible to marginalized communities, including women and persons with disabilities, empowering them to understand their rights. Notably, the project facilitated legal aid for </w:t>
            </w:r>
            <w:r w:rsidRPr="00ED60BB">
              <w:rPr>
                <w:b/>
                <w:bCs/>
                <w:sz w:val="20"/>
                <w:lang w:val="en-GB"/>
              </w:rPr>
              <w:t>5,753 individuals, of whom 3,397 were women,</w:t>
            </w:r>
            <w:r w:rsidRPr="00ED60BB">
              <w:rPr>
                <w:sz w:val="20"/>
                <w:lang w:val="en-GB"/>
              </w:rPr>
              <w:t xml:space="preserve"> enabling them to engage with justice mechanisms effectively</w:t>
            </w:r>
            <w:r w:rsidRPr="00ED60BB">
              <w:rPr>
                <w:rStyle w:val="FootnoteReference"/>
                <w:sz w:val="20"/>
                <w:lang w:val="en-GB"/>
              </w:rPr>
              <w:footnoteReference w:id="37"/>
            </w:r>
            <w:r w:rsidRPr="00ED60BB">
              <w:rPr>
                <w:sz w:val="20"/>
                <w:lang w:val="en-GB"/>
              </w:rPr>
              <w:t>. Furthermore, over 153 legal awareness initiatives were conducted, significantly surpassing the 2023 target and equipping individuals with knowledge to exercise their rights</w:t>
            </w:r>
            <w:r w:rsidRPr="00ED60BB">
              <w:rPr>
                <w:rStyle w:val="FootnoteReference"/>
                <w:sz w:val="20"/>
                <w:lang w:val="en-GB"/>
              </w:rPr>
              <w:footnoteReference w:id="38"/>
            </w:r>
            <w:r w:rsidRPr="00ED60BB">
              <w:rPr>
                <w:sz w:val="20"/>
                <w:lang w:val="en-GB"/>
              </w:rPr>
              <w:t xml:space="preserve">. </w:t>
            </w:r>
            <w:r w:rsidRPr="00ED60BB">
              <w:rPr>
                <w:sz w:val="20"/>
                <w:u w:val="single"/>
                <w:lang w:val="en-GB"/>
              </w:rPr>
              <w:t xml:space="preserve">These initiatives </w:t>
            </w:r>
            <w:r w:rsidR="000358F3" w:rsidRPr="00ED60BB">
              <w:rPr>
                <w:sz w:val="20"/>
                <w:u w:val="single"/>
                <w:lang w:val="en-GB"/>
              </w:rPr>
              <w:t xml:space="preserve">aim to </w:t>
            </w:r>
            <w:r w:rsidRPr="00ED60BB">
              <w:rPr>
                <w:sz w:val="20"/>
                <w:u w:val="single"/>
                <w:lang w:val="en-GB"/>
              </w:rPr>
              <w:t>contribute to strengthening the rule of law and fostering an inclusive justice system that addresses the needs of vulnerable groups, a key aspect of UNDP’s governance programming.</w:t>
            </w:r>
          </w:p>
          <w:p w14:paraId="731319DE" w14:textId="0C73F3EB" w:rsidR="00736936" w:rsidRPr="00ED60BB" w:rsidRDefault="00736936" w:rsidP="00F73416">
            <w:pPr>
              <w:pStyle w:val="ListParagraph"/>
              <w:numPr>
                <w:ilvl w:val="0"/>
                <w:numId w:val="98"/>
              </w:numPr>
              <w:ind w:right="397"/>
              <w:jc w:val="both"/>
              <w:rPr>
                <w:sz w:val="20"/>
                <w:lang w:val="en-GB"/>
              </w:rPr>
            </w:pPr>
            <w:r w:rsidRPr="00ED60BB">
              <w:rPr>
                <w:sz w:val="20"/>
                <w:lang w:val="en-GB"/>
              </w:rPr>
              <w:t xml:space="preserve">Under </w:t>
            </w:r>
            <w:r w:rsidRPr="00ED60BB">
              <w:rPr>
                <w:sz w:val="20"/>
                <w:u w:val="single"/>
                <w:lang w:val="en-GB"/>
              </w:rPr>
              <w:t>Capacity Building of Justice Actors, Transparency, and Accountability</w:t>
            </w:r>
            <w:r w:rsidRPr="00ED60BB">
              <w:rPr>
                <w:sz w:val="20"/>
                <w:lang w:val="en-GB"/>
              </w:rPr>
              <w:t>, JURE has strengthened professional integrity and accountability through training programs for justice actors, including the development of a Code of Ethics for Prisons and the Justice for Children Data System</w:t>
            </w:r>
            <w:r w:rsidRPr="00ED60BB">
              <w:rPr>
                <w:rStyle w:val="FootnoteReference"/>
                <w:sz w:val="20"/>
                <w:lang w:val="en-GB"/>
              </w:rPr>
              <w:footnoteReference w:id="39"/>
            </w:r>
            <w:r w:rsidRPr="00ED60BB">
              <w:rPr>
                <w:sz w:val="20"/>
                <w:lang w:val="en-GB"/>
              </w:rPr>
              <w:t xml:space="preserve">. These initiatives enhance institutional capacity and transparency. The publication of critical justice-related reports, such as the Department of Probation's Annual Statistical Report, further bolsters institutional accountability, fostering trust in the justice system. </w:t>
            </w:r>
            <w:r w:rsidRPr="00ED60BB">
              <w:rPr>
                <w:sz w:val="20"/>
                <w:u w:val="single"/>
                <w:lang w:val="en-GB"/>
              </w:rPr>
              <w:t xml:space="preserve">For UNICEF, these reforms address </w:t>
            </w:r>
            <w:r w:rsidRPr="00ED60BB">
              <w:rPr>
                <w:b/>
                <w:bCs/>
                <w:sz w:val="20"/>
                <w:u w:val="single"/>
                <w:lang w:val="en-GB"/>
              </w:rPr>
              <w:t>child and victim-sensitive justice systems</w:t>
            </w:r>
            <w:r w:rsidRPr="00ED60BB">
              <w:rPr>
                <w:sz w:val="20"/>
                <w:u w:val="single"/>
                <w:lang w:val="en-GB"/>
              </w:rPr>
              <w:t xml:space="preserve">, which are a cornerstone </w:t>
            </w:r>
            <w:r w:rsidR="006C5CC9" w:rsidRPr="00ED60BB">
              <w:rPr>
                <w:sz w:val="20"/>
                <w:lang w:val="en-GB"/>
              </w:rPr>
              <w:t xml:space="preserve">of UNICEF’s global good </w:t>
            </w:r>
            <w:r w:rsidR="00F73416" w:rsidRPr="00ED60BB">
              <w:rPr>
                <w:sz w:val="20"/>
                <w:lang w:val="en-GB"/>
              </w:rPr>
              <w:t>practice approaches</w:t>
            </w:r>
            <w:r w:rsidR="006C5CC9" w:rsidRPr="00ED60BB">
              <w:rPr>
                <w:sz w:val="20"/>
                <w:lang w:val="en-GB"/>
              </w:rPr>
              <w:t xml:space="preserve"> to strengthening child protection systems and is in line with UNICEF’s Country Programme Document (CPD) in Sri </w:t>
            </w:r>
            <w:proofErr w:type="gramStart"/>
            <w:r w:rsidR="006C5CC9" w:rsidRPr="00ED60BB">
              <w:rPr>
                <w:sz w:val="20"/>
                <w:lang w:val="en-GB"/>
              </w:rPr>
              <w:t>Lanka</w:t>
            </w:r>
            <w:r w:rsidR="006C5CC9" w:rsidRPr="00ED60BB" w:rsidDel="006C5CC9">
              <w:rPr>
                <w:sz w:val="20"/>
                <w:u w:val="single"/>
                <w:lang w:val="en-GB"/>
              </w:rPr>
              <w:t xml:space="preserve"> </w:t>
            </w:r>
            <w:r w:rsidRPr="00ED60BB">
              <w:rPr>
                <w:sz w:val="20"/>
                <w:lang w:val="en-GB"/>
              </w:rPr>
              <w:t>.</w:t>
            </w:r>
            <w:proofErr w:type="gramEnd"/>
          </w:p>
          <w:p w14:paraId="3ED46158" w14:textId="2DF26E0A" w:rsidR="00736936" w:rsidRPr="00ED60BB" w:rsidRDefault="00736936" w:rsidP="00F73416">
            <w:pPr>
              <w:pStyle w:val="ListParagraph"/>
              <w:numPr>
                <w:ilvl w:val="0"/>
                <w:numId w:val="98"/>
              </w:numPr>
              <w:ind w:right="340"/>
              <w:jc w:val="both"/>
              <w:rPr>
                <w:sz w:val="20"/>
                <w:lang w:val="en-GB"/>
              </w:rPr>
            </w:pPr>
            <w:r w:rsidRPr="00ED60BB">
              <w:rPr>
                <w:sz w:val="20"/>
                <w:lang w:val="en-GB"/>
              </w:rPr>
              <w:t>JURE's contributions have been instrumental</w:t>
            </w:r>
            <w:r w:rsidR="00597CD7" w:rsidRPr="00ED60BB">
              <w:rPr>
                <w:sz w:val="20"/>
                <w:lang w:val="en-GB"/>
              </w:rPr>
              <w:t xml:space="preserve"> in advancing reforms and the legal institutional framework</w:t>
            </w:r>
            <w:r w:rsidRPr="00ED60BB">
              <w:rPr>
                <w:sz w:val="20"/>
                <w:lang w:val="en-GB"/>
              </w:rPr>
              <w:t xml:space="preserve">. The drafting of the Victims Protection Act aligns domestic legal frameworks with international standards, enhancing the </w:t>
            </w:r>
            <w:r w:rsidRPr="00ED60BB">
              <w:rPr>
                <w:b/>
                <w:bCs/>
                <w:sz w:val="20"/>
                <w:lang w:val="en-GB"/>
              </w:rPr>
              <w:t>protection of vulnerable populations</w:t>
            </w:r>
            <w:r w:rsidRPr="00ED60BB">
              <w:rPr>
                <w:rStyle w:val="FootnoteReference"/>
                <w:sz w:val="20"/>
                <w:lang w:val="en-GB"/>
              </w:rPr>
              <w:footnoteReference w:id="40"/>
            </w:r>
            <w:r w:rsidRPr="00ED60BB">
              <w:rPr>
                <w:sz w:val="20"/>
                <w:lang w:val="en-GB"/>
              </w:rPr>
              <w:t xml:space="preserve">. Infrastructure improvements, including the establishment of </w:t>
            </w:r>
            <w:r w:rsidRPr="00ED60BB">
              <w:rPr>
                <w:b/>
                <w:bCs/>
                <w:sz w:val="20"/>
                <w:lang w:val="en-GB"/>
              </w:rPr>
              <w:t>child-friendly justice spaces and disability-accessible witness boxes</w:t>
            </w:r>
            <w:r w:rsidRPr="00ED60BB">
              <w:rPr>
                <w:sz w:val="20"/>
                <w:lang w:val="en-GB"/>
              </w:rPr>
              <w:t xml:space="preserve">, create supportive environments for </w:t>
            </w:r>
            <w:r w:rsidRPr="00ED60BB">
              <w:rPr>
                <w:b/>
                <w:bCs/>
                <w:sz w:val="20"/>
                <w:lang w:val="en-GB"/>
              </w:rPr>
              <w:t>vulnerable groups.</w:t>
            </w:r>
            <w:r w:rsidRPr="00ED60BB">
              <w:rPr>
                <w:sz w:val="20"/>
                <w:lang w:val="en-GB"/>
              </w:rPr>
              <w:t xml:space="preserve"> Additionally, the development of commercial mediation mechanisms promotes alternative dispute resolution, addressing case backlogs and enhancing judicial efficiency.</w:t>
            </w:r>
          </w:p>
          <w:p w14:paraId="44E1E9A5" w14:textId="77777777" w:rsidR="00F73416" w:rsidRPr="00ED60BB" w:rsidRDefault="00736936" w:rsidP="00F73416">
            <w:pPr>
              <w:pStyle w:val="ListParagraph"/>
              <w:numPr>
                <w:ilvl w:val="0"/>
                <w:numId w:val="98"/>
              </w:numPr>
              <w:ind w:right="340"/>
              <w:jc w:val="both"/>
              <w:rPr>
                <w:rFonts w:eastAsia="SimSun"/>
                <w:sz w:val="20"/>
                <w:lang w:eastAsia="zh-CN"/>
              </w:rPr>
            </w:pPr>
            <w:r w:rsidRPr="00ED60BB">
              <w:rPr>
                <w:sz w:val="20"/>
                <w:lang w:val="en-GB"/>
              </w:rPr>
              <w:t xml:space="preserve">The design of the JURE project is highly relevant to </w:t>
            </w:r>
            <w:r w:rsidRPr="00ED60BB">
              <w:rPr>
                <w:b/>
                <w:bCs/>
                <w:sz w:val="20"/>
                <w:lang w:val="en-GB"/>
              </w:rPr>
              <w:t xml:space="preserve">UNDP </w:t>
            </w:r>
            <w:r w:rsidR="00F73416" w:rsidRPr="00ED60BB">
              <w:rPr>
                <w:b/>
                <w:bCs/>
                <w:sz w:val="20"/>
                <w:lang w:val="en-GB"/>
              </w:rPr>
              <w:t xml:space="preserve">CPD </w:t>
            </w:r>
            <w:r w:rsidRPr="00ED60BB">
              <w:rPr>
                <w:b/>
                <w:bCs/>
                <w:sz w:val="20"/>
                <w:lang w:val="en-GB"/>
              </w:rPr>
              <w:t>Outcome 3</w:t>
            </w:r>
            <w:r w:rsidRPr="00ED60BB">
              <w:rPr>
                <w:sz w:val="20"/>
                <w:lang w:val="en-GB"/>
              </w:rPr>
              <w:t>, as it contributes to building trust and confidence in governance and justice systems by promoting inclusivity, efficiency, and responsiveness</w:t>
            </w:r>
            <w:r w:rsidRPr="00ED60BB">
              <w:rPr>
                <w:rStyle w:val="FootnoteReference"/>
                <w:sz w:val="20"/>
                <w:lang w:val="en-GB"/>
              </w:rPr>
              <w:footnoteReference w:id="41"/>
            </w:r>
            <w:r w:rsidRPr="00ED60BB">
              <w:rPr>
                <w:sz w:val="20"/>
                <w:lang w:val="en-GB"/>
              </w:rPr>
              <w:t>.</w:t>
            </w:r>
            <w:r w:rsidR="00597CD7" w:rsidRPr="00ED60BB">
              <w:rPr>
                <w:sz w:val="20"/>
                <w:lang w:val="en-GB"/>
              </w:rPr>
              <w:t xml:space="preserve"> </w:t>
            </w:r>
          </w:p>
          <w:p w14:paraId="02E61C24" w14:textId="77777777" w:rsidR="00F73416" w:rsidRPr="00ED60BB" w:rsidRDefault="00F73416" w:rsidP="00F73416">
            <w:pPr>
              <w:pStyle w:val="ListParagraph"/>
              <w:numPr>
                <w:ilvl w:val="0"/>
                <w:numId w:val="98"/>
              </w:numPr>
              <w:jc w:val="both"/>
              <w:rPr>
                <w:rFonts w:eastAsia="SimSun"/>
                <w:color w:val="000000" w:themeColor="text1"/>
                <w:sz w:val="20"/>
                <w:lang w:eastAsia="zh-CN"/>
              </w:rPr>
            </w:pPr>
            <w:r w:rsidRPr="00ED60BB">
              <w:rPr>
                <w:sz w:val="20"/>
                <w:lang w:val="en-GB"/>
              </w:rPr>
              <w:t>The JURE project aligns with the UNICEF Sri Lanka CPD 2023–2027 through key indicative outputs focused on child protection, legal reform, and access to justice. By integrating with these CPD outputs, JURE contributes to strengthening child protection systems and ensuring fair, effective, and accessible justice for children in Sri Lanka</w:t>
            </w:r>
            <w:r w:rsidRPr="00ED60BB">
              <w:rPr>
                <w:rStyle w:val="FootnoteReference"/>
                <w:rFonts w:eastAsia="SimSun"/>
                <w:color w:val="000000" w:themeColor="text1"/>
                <w:sz w:val="20"/>
                <w:lang w:eastAsia="zh-CN"/>
              </w:rPr>
              <w:footnoteReference w:id="42"/>
            </w:r>
            <w:r w:rsidRPr="00ED60BB">
              <w:rPr>
                <w:rFonts w:eastAsia="SimSun"/>
                <w:color w:val="000000" w:themeColor="text1"/>
                <w:sz w:val="20"/>
                <w:lang w:eastAsia="zh-CN"/>
              </w:rPr>
              <w:t>.</w:t>
            </w:r>
          </w:p>
          <w:p w14:paraId="500F47F9" w14:textId="0EF962FE" w:rsidR="00736936" w:rsidRPr="007A5C5F" w:rsidRDefault="00736936" w:rsidP="00D24919">
            <w:pPr>
              <w:pStyle w:val="ListParagraph"/>
              <w:numPr>
                <w:ilvl w:val="0"/>
                <w:numId w:val="98"/>
              </w:numPr>
              <w:ind w:right="340"/>
              <w:jc w:val="both"/>
              <w:rPr>
                <w:rFonts w:eastAsia="SimSun"/>
                <w:b/>
                <w:bCs/>
                <w:color w:val="000000" w:themeColor="text1"/>
                <w:szCs w:val="22"/>
                <w:lang w:val="en-GB" w:eastAsia="zh-CN"/>
              </w:rPr>
            </w:pPr>
            <w:r w:rsidRPr="00ED60BB">
              <w:rPr>
                <w:sz w:val="20"/>
                <w:lang w:val="en-GB"/>
              </w:rPr>
              <w:t xml:space="preserve">The design of the JURE project also aligns with key aspects of the </w:t>
            </w:r>
            <w:r w:rsidRPr="00ED60BB">
              <w:rPr>
                <w:b/>
                <w:bCs/>
                <w:sz w:val="20"/>
                <w:lang w:val="en-GB"/>
              </w:rPr>
              <w:t>United Nations Sustainable Development Cooperation Framework (UNSDCF) 2023-2027</w:t>
            </w:r>
            <w:r w:rsidRPr="00ED60BB">
              <w:rPr>
                <w:sz w:val="20"/>
                <w:lang w:val="en-GB"/>
              </w:rPr>
              <w:t xml:space="preserve">, particularly </w:t>
            </w:r>
            <w:r w:rsidRPr="00ED60BB">
              <w:rPr>
                <w:sz w:val="20"/>
                <w:u w:val="single"/>
                <w:lang w:val="en-GB"/>
              </w:rPr>
              <w:t xml:space="preserve">Outcome 4. </w:t>
            </w:r>
            <w:r w:rsidRPr="00ED60BB">
              <w:rPr>
                <w:sz w:val="20"/>
                <w:u w:val="single"/>
                <w:lang w:val="en-GB"/>
              </w:rPr>
              <w:lastRenderedPageBreak/>
              <w:t>Governance, Justice and Rule of Law</w:t>
            </w:r>
            <w:r w:rsidRPr="00ED60BB">
              <w:rPr>
                <w:sz w:val="20"/>
                <w:lang w:val="en-GB"/>
              </w:rPr>
              <w:t xml:space="preserve"> by addressing inclusivity, institutional accountability, and access to </w:t>
            </w:r>
            <w:r w:rsidRPr="00ED60BB">
              <w:rPr>
                <w:b/>
                <w:bCs/>
                <w:sz w:val="20"/>
                <w:lang w:val="en-GB"/>
              </w:rPr>
              <w:t>justice for vulnerable populations</w:t>
            </w:r>
            <w:r w:rsidRPr="00ED60BB">
              <w:rPr>
                <w:rStyle w:val="FootnoteReference"/>
                <w:sz w:val="20"/>
                <w:lang w:val="en-GB"/>
              </w:rPr>
              <w:footnoteReference w:id="43"/>
            </w:r>
            <w:r w:rsidRPr="00ED60BB">
              <w:rPr>
                <w:sz w:val="20"/>
                <w:lang w:val="en-GB"/>
              </w:rPr>
              <w:t>.</w:t>
            </w:r>
            <w:r w:rsidRPr="00ED60BB">
              <w:rPr>
                <w:i/>
                <w:iCs/>
                <w:sz w:val="20"/>
                <w:lang w:val="en-GB"/>
              </w:rPr>
              <w:t xml:space="preserve"> </w:t>
            </w:r>
            <w:r w:rsidRPr="00ED60BB">
              <w:rPr>
                <w:sz w:val="20"/>
                <w:lang w:val="en-GB"/>
              </w:rPr>
              <w:t xml:space="preserve">For example, </w:t>
            </w:r>
            <w:r w:rsidRPr="00ED60BB">
              <w:rPr>
                <w:rFonts w:eastAsia="SimSun"/>
                <w:sz w:val="20"/>
                <w:lang w:val="en-GB" w:eastAsia="zh-CN"/>
              </w:rPr>
              <w:t>JURE’s focus on strengthening legal aid, addressing language barriers, and raising public awareness aligned with the UNSDCF’s goal of ensuring equitable access to justice and e</w:t>
            </w:r>
            <w:r w:rsidRPr="00ED60BB">
              <w:rPr>
                <w:rFonts w:eastAsia="SimSun"/>
                <w:b/>
                <w:bCs/>
                <w:sz w:val="20"/>
                <w:lang w:val="en-GB" w:eastAsia="zh-CN"/>
              </w:rPr>
              <w:t>mpowering marginalized groups</w:t>
            </w:r>
            <w:r w:rsidR="00570CAD" w:rsidRPr="00ED60BB">
              <w:rPr>
                <w:rFonts w:eastAsia="SimSun"/>
                <w:b/>
                <w:bCs/>
                <w:sz w:val="20"/>
                <w:lang w:val="en-GB" w:eastAsia="zh-CN"/>
              </w:rPr>
              <w:t xml:space="preserve"> of language minorities</w:t>
            </w:r>
            <w:r w:rsidRPr="00ED60BB">
              <w:rPr>
                <w:rFonts w:eastAsia="SimSun"/>
                <w:b/>
                <w:bCs/>
                <w:sz w:val="20"/>
                <w:lang w:val="en-GB" w:eastAsia="zh-CN"/>
              </w:rPr>
              <w:t xml:space="preserve">, including women, children, and persons with disabilities. </w:t>
            </w:r>
            <w:r w:rsidRPr="00ED60BB">
              <w:rPr>
                <w:rFonts w:eastAsia="SimSun"/>
                <w:sz w:val="20"/>
                <w:lang w:val="en-GB" w:eastAsia="zh-CN"/>
              </w:rPr>
              <w:t xml:space="preserve">The project also contributed to enhancing institutional accountability and transparency through the development of data systems, the empowerment of oversight bodies such as the Human Rights Commission, and the promotion of ethical practices among justice sector actors. Additionally, JURE’s emphasis on modernizing justice processes through digitalization, alternative dispute resolution mechanisms, and legal reforms reflected the UNSDCF’s priority of improving governance efficiency and aligning national frameworks with international standards. </w:t>
            </w:r>
            <w:r w:rsidR="00F73416" w:rsidRPr="00ED60BB">
              <w:rPr>
                <w:rFonts w:eastAsia="SimSun"/>
                <w:sz w:val="20"/>
                <w:lang w:val="en-GB" w:eastAsia="zh-CN"/>
              </w:rPr>
              <w:t xml:space="preserve">Moreover, </w:t>
            </w:r>
            <w:r w:rsidR="00F73416" w:rsidRPr="00ED60BB">
              <w:rPr>
                <w:rFonts w:eastAsia="SimSun"/>
                <w:b/>
                <w:bCs/>
                <w:sz w:val="20"/>
                <w:lang w:eastAsia="zh-CN"/>
              </w:rPr>
              <w:t>Output 5</w:t>
            </w:r>
            <w:r w:rsidR="00F73416" w:rsidRPr="00ED60BB">
              <w:rPr>
                <w:rFonts w:eastAsia="SimSun"/>
                <w:sz w:val="20"/>
                <w:lang w:eastAsia="zh-CN"/>
              </w:rPr>
              <w:t xml:space="preserve"> under </w:t>
            </w:r>
            <w:r w:rsidR="00F73416" w:rsidRPr="00ED60BB">
              <w:rPr>
                <w:rFonts w:eastAsia="SimSun"/>
                <w:b/>
                <w:bCs/>
                <w:sz w:val="20"/>
                <w:lang w:eastAsia="zh-CN"/>
              </w:rPr>
              <w:t>UNSDCF Outcome 1</w:t>
            </w:r>
            <w:r w:rsidR="00F73416" w:rsidRPr="00ED60BB">
              <w:rPr>
                <w:rFonts w:eastAsia="SimSun"/>
                <w:sz w:val="20"/>
                <w:lang w:eastAsia="zh-CN"/>
              </w:rPr>
              <w:t xml:space="preserve"> focuses on strengthening child protection systems to prevent and respond to violence, abuse, exploitation, and neglect by developing policies, establishing child-friendly justice mechanisms, and building the capacity of justice sector professionals. The </w:t>
            </w:r>
            <w:r w:rsidR="00F73416" w:rsidRPr="00ED60BB">
              <w:rPr>
                <w:rFonts w:eastAsia="SimSun"/>
                <w:b/>
                <w:bCs/>
                <w:sz w:val="20"/>
                <w:lang w:eastAsia="zh-CN"/>
              </w:rPr>
              <w:t>JURE project</w:t>
            </w:r>
            <w:r w:rsidR="00F73416" w:rsidRPr="00ED60BB">
              <w:rPr>
                <w:rFonts w:eastAsia="SimSun"/>
                <w:sz w:val="20"/>
                <w:lang w:eastAsia="zh-CN"/>
              </w:rPr>
              <w:t xml:space="preserve"> aligns with this objective by modernizing legal frameworks to meet international child rights standards, training judges, prosecutors, and law enforcement officers on child-sensitive procedures, and establishing mechanisms to ensure timely and appropriate responses to child protection concerns within the justice system. Through these contributions, JURE supports the UNSDCF’s broader goal of enhancing child protection and ensuring equitable access to quality services for children in Sri Lanka.</w:t>
            </w:r>
          </w:p>
        </w:tc>
      </w:tr>
    </w:tbl>
    <w:p w14:paraId="0E3E9085" w14:textId="77777777" w:rsidR="00736936" w:rsidRPr="007A5C5F" w:rsidRDefault="00736936" w:rsidP="00736936">
      <w:pPr>
        <w:jc w:val="both"/>
        <w:rPr>
          <w:rFonts w:eastAsia="SimSun"/>
          <w:b/>
          <w:bCs/>
          <w:color w:val="000000" w:themeColor="text1"/>
          <w:sz w:val="22"/>
          <w:szCs w:val="22"/>
          <w:lang w:val="en-GB" w:eastAsia="zh-CN"/>
        </w:rPr>
      </w:pPr>
    </w:p>
    <w:p w14:paraId="0AAB8B42" w14:textId="13F144C5" w:rsidR="00F82055" w:rsidRPr="007A5C5F" w:rsidRDefault="00736936" w:rsidP="00F82055">
      <w:pPr>
        <w:pStyle w:val="ListParagraph"/>
        <w:numPr>
          <w:ilvl w:val="0"/>
          <w:numId w:val="49"/>
        </w:numPr>
        <w:spacing w:after="0"/>
        <w:jc w:val="both"/>
        <w:rPr>
          <w:b/>
          <w:bCs/>
          <w:color w:val="000000" w:themeColor="text1"/>
          <w:sz w:val="22"/>
          <w:szCs w:val="22"/>
          <w:lang w:val="en-GB"/>
        </w:rPr>
      </w:pPr>
      <w:r w:rsidRPr="007A5C5F">
        <w:rPr>
          <w:rFonts w:eastAsia="SimSun"/>
          <w:b/>
          <w:bCs/>
          <w:color w:val="000000" w:themeColor="text1"/>
          <w:sz w:val="22"/>
          <w:szCs w:val="22"/>
          <w:lang w:val="en-GB" w:eastAsia="zh-CN"/>
        </w:rPr>
        <w:t xml:space="preserve">Finding 2. While JURE made contributions to key aspects of the UNSDCF, a more systemic and flexible design could have enhanced its alignment and overall impact. The project’s design exhibited certain limitations. It did not </w:t>
      </w:r>
      <w:r w:rsidRPr="007A5C5F">
        <w:rPr>
          <w:b/>
          <w:bCs/>
          <w:color w:val="000000" w:themeColor="text1"/>
          <w:sz w:val="22"/>
          <w:szCs w:val="22"/>
          <w:lang w:val="en-GB"/>
        </w:rPr>
        <w:t xml:space="preserve">include implementation modalities to </w:t>
      </w:r>
      <w:r w:rsidRPr="007A5C5F">
        <w:rPr>
          <w:rFonts w:eastAsia="SimSun"/>
          <w:b/>
          <w:bCs/>
          <w:color w:val="000000" w:themeColor="text1"/>
          <w:sz w:val="22"/>
          <w:szCs w:val="22"/>
          <w:lang w:val="en-GB" w:eastAsia="zh-CN"/>
        </w:rPr>
        <w:t>fully address systemic challenges, such as judicial inefficiencies</w:t>
      </w:r>
      <w:r w:rsidR="00597CD7">
        <w:rPr>
          <w:rFonts w:eastAsia="SimSun"/>
          <w:b/>
          <w:bCs/>
          <w:color w:val="000000" w:themeColor="text1"/>
          <w:sz w:val="22"/>
          <w:szCs w:val="22"/>
          <w:lang w:val="en-GB" w:eastAsia="zh-CN"/>
        </w:rPr>
        <w:t>,</w:t>
      </w:r>
      <w:r w:rsidRPr="007A5C5F">
        <w:rPr>
          <w:rFonts w:eastAsia="SimSun"/>
          <w:b/>
          <w:bCs/>
          <w:color w:val="000000" w:themeColor="text1"/>
          <w:sz w:val="22"/>
          <w:szCs w:val="22"/>
          <w:lang w:val="en-GB" w:eastAsia="zh-CN"/>
        </w:rPr>
        <w:t xml:space="preserve"> regional disparities, </w:t>
      </w:r>
      <w:r w:rsidR="00597CD7">
        <w:rPr>
          <w:rFonts w:eastAsia="SimSun"/>
          <w:b/>
          <w:bCs/>
          <w:color w:val="000000" w:themeColor="text1"/>
          <w:sz w:val="22"/>
          <w:szCs w:val="22"/>
          <w:lang w:val="en-GB" w:eastAsia="zh-CN"/>
        </w:rPr>
        <w:t xml:space="preserve">and the </w:t>
      </w:r>
      <w:r w:rsidRPr="007A5C5F">
        <w:rPr>
          <w:rFonts w:eastAsia="SimSun"/>
          <w:b/>
          <w:bCs/>
          <w:color w:val="000000" w:themeColor="text1"/>
          <w:sz w:val="22"/>
          <w:szCs w:val="22"/>
          <w:lang w:val="en-GB" w:eastAsia="zh-CN"/>
        </w:rPr>
        <w:t xml:space="preserve">digital divide, which constrained equitable access to justice. </w:t>
      </w:r>
    </w:p>
    <w:p w14:paraId="45DB5699" w14:textId="4107B5F8" w:rsidR="005961C3" w:rsidRPr="007A5C5F" w:rsidRDefault="00683712" w:rsidP="00736936">
      <w:pPr>
        <w:pStyle w:val="ListParagraph"/>
        <w:numPr>
          <w:ilvl w:val="0"/>
          <w:numId w:val="49"/>
        </w:numPr>
        <w:spacing w:after="0"/>
        <w:jc w:val="both"/>
        <w:rPr>
          <w:color w:val="000000" w:themeColor="text1"/>
          <w:sz w:val="22"/>
          <w:szCs w:val="22"/>
          <w:lang w:val="en-GB"/>
        </w:rPr>
      </w:pPr>
      <w:r w:rsidRPr="007A5C5F">
        <w:rPr>
          <w:color w:val="000000" w:themeColor="text1"/>
          <w:sz w:val="22"/>
          <w:szCs w:val="22"/>
          <w:lang w:val="en-GB"/>
        </w:rPr>
        <w:t xml:space="preserve">The relevance of JURE was adjusted multiple times, with some amendments improving alignment with national priorities, such as digital transformation. However, certain changes, including their implementation approaches, were less coherent and </w:t>
      </w:r>
      <w:r w:rsidR="00597CD7">
        <w:rPr>
          <w:color w:val="000000" w:themeColor="text1"/>
          <w:sz w:val="22"/>
          <w:szCs w:val="22"/>
          <w:lang w:val="en-GB"/>
        </w:rPr>
        <w:t>raised</w:t>
      </w:r>
      <w:r w:rsidRPr="007A5C5F">
        <w:rPr>
          <w:color w:val="000000" w:themeColor="text1"/>
          <w:sz w:val="22"/>
          <w:szCs w:val="22"/>
          <w:lang w:val="en-GB"/>
        </w:rPr>
        <w:t xml:space="preserve"> questions about strategic consistency and stakeholder engagement.</w:t>
      </w:r>
    </w:p>
    <w:p w14:paraId="52B68170" w14:textId="105754FC" w:rsidR="00446FD0" w:rsidRPr="007A5C5F" w:rsidRDefault="00683712" w:rsidP="00312988">
      <w:pPr>
        <w:pStyle w:val="ListParagraph"/>
        <w:numPr>
          <w:ilvl w:val="0"/>
          <w:numId w:val="49"/>
        </w:numPr>
        <w:spacing w:after="0"/>
        <w:jc w:val="both"/>
        <w:rPr>
          <w:color w:val="000000" w:themeColor="text1"/>
          <w:sz w:val="22"/>
          <w:szCs w:val="22"/>
          <w:lang w:val="en-GB"/>
        </w:rPr>
      </w:pPr>
      <w:r w:rsidRPr="007A5C5F">
        <w:rPr>
          <w:color w:val="000000" w:themeColor="text1"/>
          <w:sz w:val="22"/>
          <w:szCs w:val="22"/>
          <w:lang w:val="en-GB"/>
        </w:rPr>
        <w:t xml:space="preserve">From the very start until </w:t>
      </w:r>
      <w:r w:rsidR="00597CD7">
        <w:rPr>
          <w:color w:val="000000" w:themeColor="text1"/>
          <w:sz w:val="22"/>
          <w:szCs w:val="22"/>
          <w:lang w:val="en-GB"/>
        </w:rPr>
        <w:t xml:space="preserve">the </w:t>
      </w:r>
      <w:r w:rsidRPr="007A5C5F">
        <w:rPr>
          <w:color w:val="000000" w:themeColor="text1"/>
          <w:sz w:val="22"/>
          <w:szCs w:val="22"/>
          <w:lang w:val="en-GB"/>
        </w:rPr>
        <w:t>present, the JURE project underwent numerous changes to align with Sri Lanka's evolving legal, political, social, and economic contexts.</w:t>
      </w:r>
      <w:r w:rsidR="00AB05AD" w:rsidRPr="007A5C5F">
        <w:rPr>
          <w:sz w:val="22"/>
          <w:szCs w:val="22"/>
          <w:lang w:val="en-GB"/>
        </w:rPr>
        <w:t xml:space="preserve"> </w:t>
      </w:r>
      <w:r w:rsidR="00AB05AD" w:rsidRPr="007A5C5F">
        <w:rPr>
          <w:color w:val="000000" w:themeColor="text1"/>
          <w:sz w:val="22"/>
          <w:szCs w:val="22"/>
          <w:lang w:val="en-GB"/>
        </w:rPr>
        <w:t xml:space="preserve">Towards the end of 2020, the Ministry of Finance (MoF) sent a letter to the EU Delegation (EUDEL) outlining the needs of the justice system. The letter presented these needs in the form of diverse themes, initiatives, and activities aimed at modernizing and enhancing the efficiency of the justice sector. Key initiatives included court automation, video conferencing systems between courts and prisons, and updating legal resources such as Sri Lanka Law Reports and the Lawnet website. Emphasis was placed on strengthening institutions, such as the Legal Draftsman’s and Government Analyst’s departments, and establishing SMART courts, investor courts, and specialized pre-trial and small claims courts. The mentioned list of 28 proposed interventions </w:t>
      </w:r>
      <w:r w:rsidR="00597CD7">
        <w:rPr>
          <w:color w:val="000000" w:themeColor="text1"/>
          <w:sz w:val="22"/>
          <w:szCs w:val="22"/>
          <w:lang w:val="en-GB"/>
        </w:rPr>
        <w:t>also included</w:t>
      </w:r>
      <w:r w:rsidR="00AB05AD" w:rsidRPr="007A5C5F">
        <w:rPr>
          <w:color w:val="000000" w:themeColor="text1"/>
          <w:sz w:val="22"/>
          <w:szCs w:val="22"/>
          <w:lang w:val="en-GB"/>
        </w:rPr>
        <w:t xml:space="preserve"> support </w:t>
      </w:r>
      <w:r w:rsidR="00597CD7">
        <w:rPr>
          <w:color w:val="000000" w:themeColor="text1"/>
          <w:sz w:val="22"/>
          <w:szCs w:val="22"/>
          <w:lang w:val="en-GB"/>
        </w:rPr>
        <w:t>for</w:t>
      </w:r>
      <w:r w:rsidR="00AB05AD" w:rsidRPr="007A5C5F">
        <w:rPr>
          <w:color w:val="000000" w:themeColor="text1"/>
          <w:sz w:val="22"/>
          <w:szCs w:val="22"/>
          <w:lang w:val="en-GB"/>
        </w:rPr>
        <w:t xml:space="preserve"> law reforms, digitization, and capacity-building for judges and legal professionals, alongside revamping the Ministry of Justice’s website into an interactive portal.</w:t>
      </w:r>
      <w:r w:rsidR="0022387B" w:rsidRPr="00D24919">
        <w:rPr>
          <w:color w:val="000000" w:themeColor="text1"/>
          <w:sz w:val="22"/>
          <w:szCs w:val="22"/>
          <w:lang w:val="en-GB"/>
        </w:rPr>
        <w:t xml:space="preserve"> As a result, the first addendum in 2020 incorporated digitalization</w:t>
      </w:r>
      <w:r w:rsidR="0022387B">
        <w:rPr>
          <w:color w:val="000000" w:themeColor="text1"/>
          <w:sz w:val="22"/>
          <w:szCs w:val="22"/>
          <w:lang w:val="en-GB"/>
        </w:rPr>
        <w:t xml:space="preserve"> activities. </w:t>
      </w:r>
      <w:r w:rsidR="00AB05AD" w:rsidRPr="007A5C5F">
        <w:rPr>
          <w:color w:val="000000" w:themeColor="text1"/>
          <w:sz w:val="22"/>
          <w:szCs w:val="22"/>
          <w:lang w:val="en-GB"/>
        </w:rPr>
        <w:t>Other priorities included implementing sentencing policies, reforming courthouse administration, developing community-based corrections systems, and improving contract enforcement to enhance Sri Lanka’s ranking in the World Bank’s Doing Business Index. Collectively, these initiatives aimed to foster a more efficient, transparent, and responsive justice system aligned with international standards</w:t>
      </w:r>
      <w:r w:rsidR="00AB05AD" w:rsidRPr="007A5C5F">
        <w:rPr>
          <w:rStyle w:val="FootnoteReference"/>
          <w:color w:val="000000" w:themeColor="text1"/>
          <w:sz w:val="22"/>
          <w:szCs w:val="22"/>
          <w:lang w:val="en-GB"/>
        </w:rPr>
        <w:footnoteReference w:id="44"/>
      </w:r>
      <w:r w:rsidR="00AB05AD" w:rsidRPr="007A5C5F">
        <w:rPr>
          <w:color w:val="000000" w:themeColor="text1"/>
          <w:sz w:val="22"/>
          <w:szCs w:val="22"/>
          <w:lang w:val="en-GB"/>
        </w:rPr>
        <w:t>.</w:t>
      </w:r>
    </w:p>
    <w:p w14:paraId="2730FE1D" w14:textId="4B2A10E9" w:rsidR="00312988" w:rsidRPr="007A5C5F" w:rsidRDefault="00AB05AD" w:rsidP="00312988">
      <w:pPr>
        <w:pStyle w:val="ListParagraph"/>
        <w:numPr>
          <w:ilvl w:val="0"/>
          <w:numId w:val="49"/>
        </w:numPr>
        <w:spacing w:after="0"/>
        <w:jc w:val="both"/>
        <w:rPr>
          <w:color w:val="000000" w:themeColor="text1"/>
          <w:sz w:val="22"/>
          <w:szCs w:val="22"/>
          <w:lang w:val="en-GB"/>
        </w:rPr>
      </w:pPr>
      <w:r w:rsidRPr="007A5C5F">
        <w:rPr>
          <w:color w:val="000000" w:themeColor="text1"/>
          <w:sz w:val="22"/>
          <w:szCs w:val="22"/>
          <w:lang w:val="en-GB"/>
        </w:rPr>
        <w:t>This may have resulted in the situation when</w:t>
      </w:r>
      <w:r w:rsidR="00597CD7">
        <w:rPr>
          <w:color w:val="000000" w:themeColor="text1"/>
          <w:sz w:val="22"/>
          <w:szCs w:val="22"/>
          <w:lang w:val="en-GB"/>
        </w:rPr>
        <w:t>,</w:t>
      </w:r>
      <w:r w:rsidRPr="007A5C5F">
        <w:rPr>
          <w:color w:val="000000" w:themeColor="text1"/>
          <w:sz w:val="22"/>
          <w:szCs w:val="22"/>
          <w:lang w:val="en-GB"/>
        </w:rPr>
        <w:t xml:space="preserve"> i</w:t>
      </w:r>
      <w:r w:rsidR="00312988" w:rsidRPr="007A5C5F">
        <w:rPr>
          <w:color w:val="000000" w:themeColor="text1"/>
          <w:sz w:val="22"/>
          <w:szCs w:val="22"/>
          <w:lang w:val="en-GB"/>
        </w:rPr>
        <w:t xml:space="preserve">n </w:t>
      </w:r>
      <w:r w:rsidR="0022387B">
        <w:rPr>
          <w:color w:val="000000" w:themeColor="text1"/>
          <w:sz w:val="22"/>
          <w:szCs w:val="22"/>
          <w:lang w:val="en-GB"/>
        </w:rPr>
        <w:t xml:space="preserve">July </w:t>
      </w:r>
      <w:r w:rsidR="00312988" w:rsidRPr="007A5C5F">
        <w:rPr>
          <w:color w:val="000000" w:themeColor="text1"/>
          <w:sz w:val="22"/>
          <w:szCs w:val="22"/>
          <w:lang w:val="en-GB"/>
        </w:rPr>
        <w:t>2021</w:t>
      </w:r>
      <w:r w:rsidR="00597CD7">
        <w:rPr>
          <w:color w:val="000000" w:themeColor="text1"/>
          <w:sz w:val="22"/>
          <w:szCs w:val="22"/>
          <w:lang w:val="en-GB"/>
        </w:rPr>
        <w:t>,</w:t>
      </w:r>
      <w:r w:rsidR="00312988" w:rsidRPr="007A5C5F">
        <w:rPr>
          <w:color w:val="000000" w:themeColor="text1"/>
          <w:sz w:val="22"/>
          <w:szCs w:val="22"/>
          <w:lang w:val="en-GB"/>
        </w:rPr>
        <w:t xml:space="preserve"> </w:t>
      </w:r>
      <w:r w:rsidR="00683712" w:rsidRPr="007A5C5F">
        <w:rPr>
          <w:color w:val="000000" w:themeColor="text1"/>
          <w:sz w:val="22"/>
          <w:szCs w:val="22"/>
          <w:lang w:val="en-GB"/>
        </w:rPr>
        <w:t xml:space="preserve">the Financial Agreement addendum expanded JURE’s outputs from six </w:t>
      </w:r>
      <w:r w:rsidRPr="007A5C5F">
        <w:rPr>
          <w:color w:val="000000" w:themeColor="text1"/>
          <w:sz w:val="22"/>
          <w:szCs w:val="22"/>
          <w:lang w:val="en-GB"/>
        </w:rPr>
        <w:t xml:space="preserve">designed in the </w:t>
      </w:r>
      <w:r w:rsidR="009C2EF1" w:rsidRPr="007A5C5F">
        <w:rPr>
          <w:color w:val="000000" w:themeColor="text1"/>
          <w:sz w:val="22"/>
          <w:szCs w:val="22"/>
          <w:lang w:val="en-GB"/>
        </w:rPr>
        <w:t>original</w:t>
      </w:r>
      <w:r w:rsidRPr="007A5C5F">
        <w:rPr>
          <w:color w:val="000000" w:themeColor="text1"/>
          <w:sz w:val="22"/>
          <w:szCs w:val="22"/>
          <w:lang w:val="en-GB"/>
        </w:rPr>
        <w:t xml:space="preserve"> Action Document </w:t>
      </w:r>
      <w:r w:rsidR="00683712" w:rsidRPr="007A5C5F">
        <w:rPr>
          <w:color w:val="000000" w:themeColor="text1"/>
          <w:sz w:val="22"/>
          <w:szCs w:val="22"/>
          <w:lang w:val="en-GB"/>
        </w:rPr>
        <w:t>to eleven, reflecting a broader approach to justice sector reform</w:t>
      </w:r>
      <w:r w:rsidRPr="007A5C5F">
        <w:rPr>
          <w:color w:val="000000" w:themeColor="text1"/>
          <w:sz w:val="22"/>
          <w:szCs w:val="22"/>
          <w:lang w:val="en-GB"/>
        </w:rPr>
        <w:t>, as requested by the national partners</w:t>
      </w:r>
      <w:r w:rsidR="00683712" w:rsidRPr="007A5C5F">
        <w:rPr>
          <w:color w:val="000000" w:themeColor="text1"/>
          <w:sz w:val="22"/>
          <w:szCs w:val="22"/>
          <w:lang w:val="en-GB"/>
        </w:rPr>
        <w:t xml:space="preserve">. While the original outputs focused on legal aid, equal access to justice, public awareness, data collection, ethics, and institutional capacity, the additional outputs introduced age-appropriate child justice services, strengthened policy and legal reforms, enhanced digital and administrative capacities, commercial law improvements, and mechanisms </w:t>
      </w:r>
      <w:r w:rsidR="00683712" w:rsidRPr="007A5C5F">
        <w:rPr>
          <w:color w:val="000000" w:themeColor="text1"/>
          <w:sz w:val="22"/>
          <w:szCs w:val="22"/>
          <w:lang w:val="en-GB"/>
        </w:rPr>
        <w:lastRenderedPageBreak/>
        <w:t>for better coordination among justice actors</w:t>
      </w:r>
      <w:r w:rsidR="00312988" w:rsidRPr="007A5C5F">
        <w:rPr>
          <w:color w:val="000000" w:themeColor="text1"/>
          <w:sz w:val="22"/>
          <w:szCs w:val="22"/>
          <w:lang w:val="en-GB"/>
        </w:rPr>
        <w:t>.</w:t>
      </w:r>
      <w:r w:rsidR="00683712" w:rsidRPr="007A5C5F">
        <w:rPr>
          <w:rStyle w:val="FootnoteReference"/>
          <w:color w:val="000000" w:themeColor="text1"/>
          <w:sz w:val="22"/>
          <w:szCs w:val="22"/>
          <w:lang w:val="en-GB"/>
        </w:rPr>
        <w:footnoteReference w:id="45"/>
      </w:r>
      <w:r w:rsidR="0022387B" w:rsidRPr="0022387B">
        <w:t xml:space="preserve"> </w:t>
      </w:r>
      <w:r w:rsidR="0022387B" w:rsidRPr="00D24919">
        <w:rPr>
          <w:color w:val="000000" w:themeColor="text1"/>
          <w:sz w:val="22"/>
          <w:szCs w:val="22"/>
          <w:lang w:val="en-GB"/>
        </w:rPr>
        <w:t>The agreement with UNDP was not signed until the end of December 2021.</w:t>
      </w:r>
    </w:p>
    <w:p w14:paraId="04A2B610" w14:textId="14ED0115" w:rsidR="002F09DF" w:rsidRPr="007A5C5F" w:rsidRDefault="00312988" w:rsidP="002F09DF">
      <w:pPr>
        <w:pStyle w:val="ListParagraph"/>
        <w:numPr>
          <w:ilvl w:val="0"/>
          <w:numId w:val="49"/>
        </w:numPr>
        <w:spacing w:after="0"/>
        <w:jc w:val="both"/>
        <w:rPr>
          <w:sz w:val="22"/>
          <w:szCs w:val="22"/>
          <w:lang w:val="en-GB"/>
        </w:rPr>
      </w:pPr>
      <w:r w:rsidRPr="007A5C5F">
        <w:rPr>
          <w:sz w:val="22"/>
          <w:szCs w:val="22"/>
          <w:lang w:val="en-GB"/>
        </w:rPr>
        <w:t xml:space="preserve">The revision of the project document shows that UNDP </w:t>
      </w:r>
      <w:r w:rsidR="009C2EF1" w:rsidRPr="007A5C5F">
        <w:rPr>
          <w:sz w:val="22"/>
          <w:szCs w:val="22"/>
          <w:lang w:val="en-GB"/>
        </w:rPr>
        <w:t>closely</w:t>
      </w:r>
      <w:r w:rsidRPr="007A5C5F">
        <w:rPr>
          <w:sz w:val="22"/>
          <w:szCs w:val="22"/>
          <w:lang w:val="en-GB"/>
        </w:rPr>
        <w:t xml:space="preserve"> followed</w:t>
      </w:r>
      <w:r w:rsidR="00683712" w:rsidRPr="007A5C5F">
        <w:rPr>
          <w:sz w:val="22"/>
          <w:szCs w:val="22"/>
          <w:lang w:val="en-GB"/>
        </w:rPr>
        <w:t xml:space="preserve"> requests from Sri Lankan authorities </w:t>
      </w:r>
      <w:r w:rsidRPr="007A5C5F">
        <w:rPr>
          <w:sz w:val="22"/>
          <w:szCs w:val="22"/>
          <w:lang w:val="en-GB"/>
        </w:rPr>
        <w:t xml:space="preserve">and made </w:t>
      </w:r>
      <w:r w:rsidR="00683712" w:rsidRPr="007A5C5F">
        <w:rPr>
          <w:sz w:val="22"/>
          <w:szCs w:val="22"/>
          <w:lang w:val="en-GB"/>
        </w:rPr>
        <w:t xml:space="preserve">adjustments </w:t>
      </w:r>
      <w:r w:rsidRPr="007A5C5F">
        <w:rPr>
          <w:sz w:val="22"/>
          <w:szCs w:val="22"/>
          <w:lang w:val="en-GB"/>
        </w:rPr>
        <w:t xml:space="preserve">that </w:t>
      </w:r>
      <w:r w:rsidR="00683712" w:rsidRPr="007A5C5F">
        <w:rPr>
          <w:sz w:val="22"/>
          <w:szCs w:val="22"/>
          <w:lang w:val="en-GB"/>
        </w:rPr>
        <w:t>included a strong emphasis on digital transformation, integrating IT-based solutions like court automation systems, video conferencing, and digital case management, which addressed urgent needs for efficiency and remote functionality in the justice sector</w:t>
      </w:r>
      <w:r w:rsidRPr="007A5C5F">
        <w:rPr>
          <w:rStyle w:val="FootnoteReference"/>
          <w:sz w:val="22"/>
          <w:szCs w:val="22"/>
          <w:lang w:val="en-GB"/>
        </w:rPr>
        <w:footnoteReference w:id="46"/>
      </w:r>
      <w:r w:rsidR="00683712" w:rsidRPr="007A5C5F">
        <w:rPr>
          <w:sz w:val="22"/>
          <w:szCs w:val="22"/>
          <w:lang w:val="en-GB"/>
        </w:rPr>
        <w:t xml:space="preserve">. </w:t>
      </w:r>
    </w:p>
    <w:p w14:paraId="2835400C" w14:textId="01640F8F" w:rsidR="002F09DF" w:rsidRPr="007A5C5F" w:rsidRDefault="00683712" w:rsidP="002F09DF">
      <w:pPr>
        <w:pStyle w:val="ListParagraph"/>
        <w:numPr>
          <w:ilvl w:val="0"/>
          <w:numId w:val="49"/>
        </w:numPr>
        <w:spacing w:after="0"/>
        <w:jc w:val="both"/>
        <w:rPr>
          <w:sz w:val="22"/>
          <w:szCs w:val="22"/>
          <w:lang w:val="en-GB"/>
        </w:rPr>
      </w:pPr>
      <w:r w:rsidRPr="007A5C5F">
        <w:rPr>
          <w:sz w:val="22"/>
          <w:szCs w:val="22"/>
          <w:lang w:val="en-GB"/>
        </w:rPr>
        <w:t>Additionally, the inclusion of</w:t>
      </w:r>
      <w:r w:rsidR="0022387B">
        <w:rPr>
          <w:sz w:val="22"/>
          <w:szCs w:val="22"/>
          <w:lang w:val="en-GB"/>
        </w:rPr>
        <w:t xml:space="preserve"> </w:t>
      </w:r>
      <w:r w:rsidRPr="007A5C5F">
        <w:rPr>
          <w:sz w:val="22"/>
          <w:szCs w:val="22"/>
          <w:lang w:val="en-GB"/>
        </w:rPr>
        <w:t xml:space="preserve">outputs, such as strengthening commercial laws and alternate dispute resolution mechanisms, expanded the project’s scope to encompass critical areas of governance and economic </w:t>
      </w:r>
      <w:r w:rsidR="00B2500C" w:rsidRPr="007A5C5F">
        <w:rPr>
          <w:sz w:val="22"/>
          <w:szCs w:val="22"/>
          <w:lang w:val="en-GB"/>
        </w:rPr>
        <w:t>development. To</w:t>
      </w:r>
      <w:r w:rsidR="002F09DF" w:rsidRPr="007A5C5F">
        <w:rPr>
          <w:sz w:val="22"/>
          <w:szCs w:val="22"/>
          <w:lang w:val="en-GB"/>
        </w:rPr>
        <w:t xml:space="preserve"> this end, the </w:t>
      </w:r>
      <w:r w:rsidR="002F09DF" w:rsidRPr="007A5C5F">
        <w:rPr>
          <w:b/>
          <w:bCs/>
          <w:sz w:val="22"/>
          <w:szCs w:val="22"/>
          <w:lang w:val="en-GB"/>
        </w:rPr>
        <w:t>IMF Governance Diagnostic Assessment (GDA)</w:t>
      </w:r>
      <w:r w:rsidR="002F09DF" w:rsidRPr="007A5C5F">
        <w:rPr>
          <w:sz w:val="22"/>
          <w:szCs w:val="22"/>
          <w:lang w:val="en-GB"/>
        </w:rPr>
        <w:t xml:space="preserve"> underscored the systemic inefficiencies in Sri Lanka’s judiciary, particularly regarding the overwhelming case backlog and its cascading impact on justice delivery and economic confidence. The report highlighted that the judicial system suffers from </w:t>
      </w:r>
      <w:r w:rsidR="002F09DF" w:rsidRPr="007A5C5F">
        <w:rPr>
          <w:b/>
          <w:bCs/>
          <w:sz w:val="22"/>
          <w:szCs w:val="22"/>
          <w:lang w:val="en-GB"/>
        </w:rPr>
        <w:t>poor resources</w:t>
      </w:r>
      <w:r w:rsidR="002F09DF" w:rsidRPr="007A5C5F">
        <w:rPr>
          <w:sz w:val="22"/>
          <w:szCs w:val="22"/>
          <w:lang w:val="en-GB"/>
        </w:rPr>
        <w:t xml:space="preserve">, </w:t>
      </w:r>
      <w:r w:rsidR="002F09DF" w:rsidRPr="007A5C5F">
        <w:rPr>
          <w:b/>
          <w:bCs/>
          <w:sz w:val="22"/>
          <w:szCs w:val="22"/>
          <w:lang w:val="en-GB"/>
        </w:rPr>
        <w:t>limited capacity of legal personnel</w:t>
      </w:r>
      <w:r w:rsidR="002F09DF" w:rsidRPr="007A5C5F">
        <w:rPr>
          <w:sz w:val="22"/>
          <w:szCs w:val="22"/>
          <w:lang w:val="en-GB"/>
        </w:rPr>
        <w:t xml:space="preserve">, and </w:t>
      </w:r>
      <w:r w:rsidR="002F09DF" w:rsidRPr="007A5C5F">
        <w:rPr>
          <w:b/>
          <w:bCs/>
          <w:sz w:val="22"/>
          <w:szCs w:val="22"/>
          <w:lang w:val="en-GB"/>
        </w:rPr>
        <w:t>antiquated processes</w:t>
      </w:r>
      <w:r w:rsidR="002F09DF" w:rsidRPr="007A5C5F">
        <w:rPr>
          <w:sz w:val="22"/>
          <w:szCs w:val="22"/>
          <w:lang w:val="en-GB"/>
        </w:rPr>
        <w:t xml:space="preserve">. Judges are burdened with administrative duties, leaving insufficient time for adjudication, which exacerbates delays. Moreover, the lack of technological adoption for case management and the absence of publicly accessible data or registries </w:t>
      </w:r>
      <w:r w:rsidR="007A5C5F" w:rsidRPr="007A5C5F">
        <w:rPr>
          <w:sz w:val="22"/>
          <w:szCs w:val="22"/>
          <w:lang w:val="en-GB"/>
        </w:rPr>
        <w:t>creates</w:t>
      </w:r>
      <w:r w:rsidR="002F09DF" w:rsidRPr="007A5C5F">
        <w:rPr>
          <w:sz w:val="22"/>
          <w:szCs w:val="22"/>
          <w:lang w:val="en-GB"/>
        </w:rPr>
        <w:t xml:space="preserve"> vulnerabilities to </w:t>
      </w:r>
      <w:r w:rsidR="002F09DF" w:rsidRPr="007A5C5F">
        <w:rPr>
          <w:b/>
          <w:bCs/>
          <w:sz w:val="22"/>
          <w:szCs w:val="22"/>
          <w:lang w:val="en-GB"/>
        </w:rPr>
        <w:t>corruption</w:t>
      </w:r>
      <w:r w:rsidR="002F09DF" w:rsidRPr="007A5C5F">
        <w:rPr>
          <w:sz w:val="22"/>
          <w:szCs w:val="22"/>
          <w:lang w:val="en-GB"/>
        </w:rPr>
        <w:t xml:space="preserve"> and amplify inefficiencies, especially in resolving land and contract disputes.</w:t>
      </w:r>
    </w:p>
    <w:p w14:paraId="1DE6DEA2" w14:textId="28E50DB0" w:rsidR="002F09DF" w:rsidRPr="007A5C5F" w:rsidRDefault="002F09DF" w:rsidP="002F09DF">
      <w:pPr>
        <w:pStyle w:val="ListParagraph"/>
        <w:numPr>
          <w:ilvl w:val="0"/>
          <w:numId w:val="49"/>
        </w:numPr>
        <w:spacing w:after="0"/>
        <w:jc w:val="both"/>
        <w:rPr>
          <w:sz w:val="22"/>
          <w:szCs w:val="22"/>
          <w:lang w:val="en-GB"/>
        </w:rPr>
      </w:pPr>
      <w:r w:rsidRPr="007A5C5F">
        <w:rPr>
          <w:sz w:val="22"/>
          <w:szCs w:val="22"/>
          <w:lang w:val="en-GB"/>
        </w:rPr>
        <w:t xml:space="preserve">One critical issue identified is the backlog's </w:t>
      </w:r>
      <w:r w:rsidRPr="007A5C5F">
        <w:rPr>
          <w:b/>
          <w:bCs/>
          <w:sz w:val="22"/>
          <w:szCs w:val="22"/>
          <w:lang w:val="en-GB"/>
        </w:rPr>
        <w:t>impact on contract enforcement</w:t>
      </w:r>
      <w:r w:rsidRPr="007A5C5F">
        <w:rPr>
          <w:sz w:val="22"/>
          <w:szCs w:val="22"/>
          <w:lang w:val="en-GB"/>
        </w:rPr>
        <w:t xml:space="preserve">, a fundamental concern for businesses and investors. For example, the report provides that in the </w:t>
      </w:r>
      <w:r w:rsidRPr="007A5C5F">
        <w:rPr>
          <w:b/>
          <w:bCs/>
          <w:sz w:val="22"/>
          <w:szCs w:val="22"/>
          <w:lang w:val="en-GB"/>
        </w:rPr>
        <w:t>District Court of Colombo</w:t>
      </w:r>
      <w:r w:rsidRPr="007A5C5F">
        <w:rPr>
          <w:sz w:val="22"/>
          <w:szCs w:val="22"/>
          <w:lang w:val="en-GB"/>
        </w:rPr>
        <w:t xml:space="preserve">, which handles a significant volume of financial disputes, there are currently </w:t>
      </w:r>
      <w:r w:rsidRPr="007A5C5F">
        <w:rPr>
          <w:b/>
          <w:bCs/>
          <w:sz w:val="22"/>
          <w:szCs w:val="22"/>
          <w:lang w:val="en-GB"/>
        </w:rPr>
        <w:t>45,000 pending cases</w:t>
      </w:r>
      <w:r w:rsidRPr="007A5C5F">
        <w:rPr>
          <w:sz w:val="22"/>
          <w:szCs w:val="22"/>
          <w:lang w:val="en-GB"/>
        </w:rPr>
        <w:t xml:space="preserve">, with an average of </w:t>
      </w:r>
      <w:r w:rsidRPr="007A5C5F">
        <w:rPr>
          <w:b/>
          <w:bCs/>
          <w:sz w:val="22"/>
          <w:szCs w:val="22"/>
          <w:lang w:val="en-GB"/>
        </w:rPr>
        <w:t>10,000 new cases registered annually</w:t>
      </w:r>
      <w:r w:rsidRPr="007A5C5F">
        <w:rPr>
          <w:sz w:val="22"/>
          <w:szCs w:val="22"/>
          <w:lang w:val="en-GB"/>
        </w:rPr>
        <w:t xml:space="preserve">. With only </w:t>
      </w:r>
      <w:r w:rsidRPr="007A5C5F">
        <w:rPr>
          <w:b/>
          <w:bCs/>
          <w:sz w:val="22"/>
          <w:szCs w:val="22"/>
          <w:lang w:val="en-GB"/>
        </w:rPr>
        <w:t>10 judges</w:t>
      </w:r>
      <w:r w:rsidRPr="007A5C5F">
        <w:rPr>
          <w:sz w:val="22"/>
          <w:szCs w:val="22"/>
          <w:lang w:val="en-GB"/>
        </w:rPr>
        <w:t xml:space="preserve">, each handling approximately </w:t>
      </w:r>
      <w:r w:rsidRPr="007A5C5F">
        <w:rPr>
          <w:b/>
          <w:bCs/>
          <w:sz w:val="22"/>
          <w:szCs w:val="22"/>
          <w:lang w:val="en-GB"/>
        </w:rPr>
        <w:t>2,000 cases at any given time</w:t>
      </w:r>
      <w:r w:rsidRPr="007A5C5F">
        <w:rPr>
          <w:sz w:val="22"/>
          <w:szCs w:val="22"/>
          <w:lang w:val="en-GB"/>
        </w:rPr>
        <w:t>, the system is overwhelmed. This backlog discourages reliance on the court system for credit enforcement and diminishes international investors' confidence in Sri Lanka as a viable business environment. The IMF further noted that the inefficiencies in the judiciary contribute to Sri Lanka’s broader economic challenges by making the country less attractive for business and investment.</w:t>
      </w:r>
    </w:p>
    <w:p w14:paraId="4267A74A" w14:textId="59100A25" w:rsidR="00312988" w:rsidRPr="007A5C5F" w:rsidRDefault="002F09DF" w:rsidP="002F09DF">
      <w:pPr>
        <w:pStyle w:val="ListParagraph"/>
        <w:numPr>
          <w:ilvl w:val="0"/>
          <w:numId w:val="49"/>
        </w:numPr>
        <w:spacing w:after="0"/>
        <w:jc w:val="both"/>
        <w:rPr>
          <w:sz w:val="22"/>
          <w:szCs w:val="22"/>
          <w:lang w:val="en-GB"/>
        </w:rPr>
      </w:pPr>
      <w:r w:rsidRPr="007A5C5F">
        <w:rPr>
          <w:sz w:val="22"/>
          <w:szCs w:val="22"/>
          <w:lang w:val="en-GB"/>
        </w:rPr>
        <w:t xml:space="preserve">To address these issues, the report implicitly advocates for </w:t>
      </w:r>
      <w:r w:rsidRPr="007A5C5F">
        <w:rPr>
          <w:b/>
          <w:bCs/>
          <w:sz w:val="22"/>
          <w:szCs w:val="22"/>
          <w:lang w:val="en-GB"/>
        </w:rPr>
        <w:t>comprehensive reforms</w:t>
      </w:r>
      <w:r w:rsidRPr="007A5C5F">
        <w:rPr>
          <w:sz w:val="22"/>
          <w:szCs w:val="22"/>
          <w:lang w:val="en-GB"/>
        </w:rPr>
        <w:t>, including increased resources, capacity building for legal personnel, integration of technology for case management, and modernization of land registration systems. Without these measures, the backlog will continue to grow, further eroding the judicial system’s functionality and trustworthiness while hindering economic recovery and development.</w:t>
      </w:r>
    </w:p>
    <w:p w14:paraId="24BBF1C7" w14:textId="609582CA" w:rsidR="00B2500C" w:rsidRPr="007A5C5F" w:rsidRDefault="002F09DF" w:rsidP="00B17DDC">
      <w:pPr>
        <w:pStyle w:val="ListParagraph"/>
        <w:numPr>
          <w:ilvl w:val="0"/>
          <w:numId w:val="49"/>
        </w:numPr>
        <w:tabs>
          <w:tab w:val="num" w:pos="1440"/>
        </w:tabs>
        <w:adjustRightInd/>
        <w:snapToGrid/>
        <w:spacing w:after="0"/>
        <w:jc w:val="both"/>
        <w:rPr>
          <w:b/>
          <w:bCs/>
          <w:sz w:val="22"/>
          <w:szCs w:val="22"/>
          <w:lang w:val="en-GB"/>
        </w:rPr>
      </w:pPr>
      <w:r w:rsidRPr="007A5C5F">
        <w:rPr>
          <w:sz w:val="22"/>
          <w:szCs w:val="22"/>
          <w:lang w:val="en-GB"/>
        </w:rPr>
        <w:t xml:space="preserve">The </w:t>
      </w:r>
      <w:r w:rsidRPr="007A5C5F">
        <w:rPr>
          <w:b/>
          <w:bCs/>
          <w:sz w:val="22"/>
          <w:szCs w:val="22"/>
          <w:lang w:val="en-GB"/>
        </w:rPr>
        <w:t>2024 Work Plan</w:t>
      </w:r>
      <w:r w:rsidRPr="007A5C5F">
        <w:rPr>
          <w:sz w:val="22"/>
          <w:szCs w:val="22"/>
          <w:lang w:val="en-GB"/>
        </w:rPr>
        <w:t xml:space="preserve"> included several targeted initiatives aimed at tackling the systemic inefficiencies highlighted by the IMF Governance Diagnostic Assessment (GDA</w:t>
      </w:r>
      <w:r w:rsidR="00B2500C" w:rsidRPr="007A5C5F">
        <w:rPr>
          <w:sz w:val="22"/>
          <w:szCs w:val="22"/>
          <w:lang w:val="en-GB"/>
        </w:rPr>
        <w:t>). These</w:t>
      </w:r>
      <w:r w:rsidR="00683712" w:rsidRPr="007A5C5F">
        <w:rPr>
          <w:sz w:val="22"/>
          <w:szCs w:val="22"/>
          <w:lang w:val="en-GB"/>
        </w:rPr>
        <w:t xml:space="preserve"> modifications </w:t>
      </w:r>
      <w:r w:rsidRPr="007A5C5F">
        <w:rPr>
          <w:sz w:val="22"/>
          <w:szCs w:val="22"/>
          <w:lang w:val="en-GB"/>
        </w:rPr>
        <w:t xml:space="preserve">will </w:t>
      </w:r>
      <w:r w:rsidR="00683712" w:rsidRPr="007A5C5F">
        <w:rPr>
          <w:sz w:val="22"/>
          <w:szCs w:val="22"/>
          <w:lang w:val="en-GB"/>
        </w:rPr>
        <w:t xml:space="preserve">ensure that JURE </w:t>
      </w:r>
      <w:r w:rsidR="00597CD7">
        <w:rPr>
          <w:sz w:val="22"/>
          <w:szCs w:val="22"/>
          <w:lang w:val="en-GB"/>
        </w:rPr>
        <w:t>remains</w:t>
      </w:r>
      <w:r w:rsidR="009E2B5C" w:rsidRPr="007A5C5F">
        <w:rPr>
          <w:sz w:val="22"/>
          <w:szCs w:val="22"/>
          <w:lang w:val="en-GB"/>
        </w:rPr>
        <w:t xml:space="preserve"> </w:t>
      </w:r>
      <w:r w:rsidR="00683712" w:rsidRPr="007A5C5F">
        <w:rPr>
          <w:sz w:val="22"/>
          <w:szCs w:val="22"/>
          <w:lang w:val="en-GB"/>
        </w:rPr>
        <w:t xml:space="preserve">relevant not only in addressing systemic inefficiencies, such as case backlogs, but also in responding to emerging needs for transparency, accessibility, and resilience in the justice system. By adapting to these changes, JURE </w:t>
      </w:r>
      <w:r w:rsidR="00597CD7">
        <w:rPr>
          <w:sz w:val="22"/>
          <w:szCs w:val="22"/>
          <w:lang w:val="en-GB"/>
        </w:rPr>
        <w:t>demonstrates</w:t>
      </w:r>
      <w:r w:rsidR="00683712" w:rsidRPr="007A5C5F">
        <w:rPr>
          <w:sz w:val="22"/>
          <w:szCs w:val="22"/>
          <w:lang w:val="en-GB"/>
        </w:rPr>
        <w:t xml:space="preserve"> its capacity to support Sri Lanka’s justice sector in achieving more efficient, inclusive, and sustainable outcomes, reaffirming its alignment with national policy frameworks and international best practices</w:t>
      </w:r>
      <w:r w:rsidRPr="007A5C5F">
        <w:rPr>
          <w:sz w:val="22"/>
          <w:szCs w:val="22"/>
          <w:lang w:val="en-GB"/>
        </w:rPr>
        <w:t>.</w:t>
      </w:r>
    </w:p>
    <w:p w14:paraId="0EA0AE24" w14:textId="62C76DAD" w:rsidR="00B2500C" w:rsidRPr="007A5C5F" w:rsidRDefault="00B2500C" w:rsidP="00B2500C">
      <w:pPr>
        <w:pStyle w:val="ListParagraph"/>
        <w:numPr>
          <w:ilvl w:val="0"/>
          <w:numId w:val="49"/>
        </w:numPr>
        <w:tabs>
          <w:tab w:val="num" w:pos="1440"/>
        </w:tabs>
        <w:spacing w:after="0"/>
        <w:jc w:val="both"/>
        <w:rPr>
          <w:sz w:val="22"/>
          <w:szCs w:val="22"/>
          <w:lang w:val="en-GB"/>
        </w:rPr>
      </w:pPr>
      <w:r w:rsidRPr="007A5C5F">
        <w:rPr>
          <w:sz w:val="22"/>
          <w:szCs w:val="22"/>
          <w:lang w:val="en-GB"/>
        </w:rPr>
        <w:t>From a programmatic perspective, the integration of activities addressing commercial dispute resolution</w:t>
      </w:r>
      <w:r w:rsidR="00540E33" w:rsidRPr="007A5C5F">
        <w:rPr>
          <w:sz w:val="22"/>
          <w:szCs w:val="22"/>
          <w:lang w:val="en-GB"/>
        </w:rPr>
        <w:t xml:space="preserve"> </w:t>
      </w:r>
      <w:r w:rsidRPr="007A5C5F">
        <w:rPr>
          <w:sz w:val="22"/>
          <w:szCs w:val="22"/>
          <w:lang w:val="en-GB"/>
        </w:rPr>
        <w:t xml:space="preserve">into the existing project framework appears overly ambitious and misaligned with the available time, resources, and institutional readiness. </w:t>
      </w:r>
      <w:r w:rsidRPr="007A5C5F">
        <w:rPr>
          <w:b/>
          <w:bCs/>
          <w:sz w:val="22"/>
          <w:szCs w:val="22"/>
          <w:lang w:val="en-GB"/>
        </w:rPr>
        <w:t>A more strategic approach would have been to design a standalone intervention</w:t>
      </w:r>
      <w:r w:rsidR="009550D4" w:rsidRPr="007A5C5F">
        <w:rPr>
          <w:b/>
          <w:bCs/>
          <w:sz w:val="22"/>
          <w:szCs w:val="22"/>
          <w:lang w:val="en-GB"/>
        </w:rPr>
        <w:t>(programme)</w:t>
      </w:r>
      <w:r w:rsidRPr="007A5C5F">
        <w:rPr>
          <w:b/>
          <w:bCs/>
          <w:sz w:val="22"/>
          <w:szCs w:val="22"/>
          <w:lang w:val="en-GB"/>
        </w:rPr>
        <w:t xml:space="preserve"> dedicated to this complex and specialized area.</w:t>
      </w:r>
      <w:r w:rsidRPr="007A5C5F">
        <w:rPr>
          <w:sz w:val="22"/>
          <w:szCs w:val="22"/>
          <w:lang w:val="en-GB"/>
        </w:rPr>
        <w:t xml:space="preserve"> Such an intervention could focus on systematically addressing the underlying challenges, including capacity building, legal and procedural reforms, and the establishment of robust arbitration mechanisms.</w:t>
      </w:r>
    </w:p>
    <w:p w14:paraId="1499D0AA" w14:textId="13FEC868" w:rsidR="004C796D" w:rsidRPr="007A5C5F" w:rsidRDefault="004C796D" w:rsidP="004C796D">
      <w:pPr>
        <w:pStyle w:val="NormalWeb"/>
        <w:numPr>
          <w:ilvl w:val="0"/>
          <w:numId w:val="49"/>
        </w:numPr>
        <w:jc w:val="both"/>
        <w:rPr>
          <w:sz w:val="22"/>
          <w:szCs w:val="22"/>
          <w:lang w:val="en-GB"/>
        </w:rPr>
      </w:pPr>
      <w:r w:rsidRPr="007A5C5F">
        <w:rPr>
          <w:sz w:val="22"/>
          <w:szCs w:val="22"/>
          <w:lang w:val="en-GB"/>
        </w:rPr>
        <w:t xml:space="preserve">For example, the activities proposed in the 2024 Work Plan, while valuable in addressing immediate inefficiencies in commercial dispute resolution, fail to </w:t>
      </w:r>
      <w:r w:rsidR="00DF3B19" w:rsidRPr="007A5C5F">
        <w:rPr>
          <w:sz w:val="22"/>
          <w:szCs w:val="22"/>
          <w:lang w:val="en-GB"/>
        </w:rPr>
        <w:t xml:space="preserve">include interventions that </w:t>
      </w:r>
      <w:r w:rsidRPr="007A5C5F">
        <w:rPr>
          <w:sz w:val="22"/>
          <w:szCs w:val="22"/>
          <w:lang w:val="en-GB"/>
        </w:rPr>
        <w:t>confront the systemic problems undermining the effectiveness of Sri Lanka’s commercial justice system. The plan focuses on initiatives such as procedural reforms for the Commercial High Court, the creation of a Commercial Law Bench Book, operationalizing the Companies Dispute Board, developing a digital case tracker for debt cases, and training sessions for Debt Conciliation Board members. These activities target operational improvements, yet they do not address the root causes identified by the IMF Governance Diagnostic Assessment (GDA).</w:t>
      </w:r>
    </w:p>
    <w:p w14:paraId="6BE6D6EE" w14:textId="5186F8FA" w:rsidR="004C796D" w:rsidRPr="007A5C5F" w:rsidRDefault="004C796D" w:rsidP="004C796D">
      <w:pPr>
        <w:pStyle w:val="NormalWeb"/>
        <w:numPr>
          <w:ilvl w:val="0"/>
          <w:numId w:val="49"/>
        </w:numPr>
        <w:jc w:val="both"/>
        <w:rPr>
          <w:b/>
          <w:bCs/>
          <w:sz w:val="22"/>
          <w:szCs w:val="22"/>
          <w:lang w:val="en-GB"/>
        </w:rPr>
      </w:pPr>
      <w:r w:rsidRPr="007A5C5F">
        <w:rPr>
          <w:sz w:val="22"/>
          <w:szCs w:val="22"/>
          <w:lang w:val="en-GB"/>
        </w:rPr>
        <w:lastRenderedPageBreak/>
        <w:t xml:space="preserve">However, the systemic issues include </w:t>
      </w:r>
      <w:r w:rsidRPr="007A5C5F">
        <w:rPr>
          <w:rStyle w:val="Strong"/>
          <w:rFonts w:eastAsia="AppleGothic"/>
          <w:sz w:val="22"/>
          <w:szCs w:val="22"/>
          <w:lang w:val="en-GB"/>
        </w:rPr>
        <w:t>poor resources</w:t>
      </w:r>
      <w:r w:rsidRPr="007A5C5F">
        <w:rPr>
          <w:sz w:val="22"/>
          <w:szCs w:val="22"/>
          <w:lang w:val="en-GB"/>
        </w:rPr>
        <w:t xml:space="preserve">, an </w:t>
      </w:r>
      <w:r w:rsidRPr="007A5C5F">
        <w:rPr>
          <w:rStyle w:val="Strong"/>
          <w:rFonts w:eastAsia="AppleGothic"/>
          <w:sz w:val="22"/>
          <w:szCs w:val="22"/>
          <w:lang w:val="en-GB"/>
        </w:rPr>
        <w:t>overwhelming backlog of cases</w:t>
      </w:r>
      <w:r w:rsidRPr="007A5C5F">
        <w:rPr>
          <w:sz w:val="22"/>
          <w:szCs w:val="22"/>
          <w:lang w:val="en-GB"/>
        </w:rPr>
        <w:t xml:space="preserve">, and the </w:t>
      </w:r>
      <w:r w:rsidRPr="007A5C5F">
        <w:rPr>
          <w:rStyle w:val="Strong"/>
          <w:rFonts w:eastAsia="AppleGothic"/>
          <w:sz w:val="22"/>
          <w:szCs w:val="22"/>
          <w:lang w:val="en-GB"/>
        </w:rPr>
        <w:t>limited capacity of legal personnel</w:t>
      </w:r>
      <w:r w:rsidR="00597CD7">
        <w:rPr>
          <w:sz w:val="22"/>
          <w:szCs w:val="22"/>
          <w:lang w:val="en-GB"/>
        </w:rPr>
        <w:t>.</w:t>
      </w:r>
      <w:r w:rsidRPr="007A5C5F">
        <w:rPr>
          <w:sz w:val="22"/>
          <w:szCs w:val="22"/>
          <w:lang w:val="en-GB"/>
        </w:rPr>
        <w:t xml:space="preserve"> Judges </w:t>
      </w:r>
      <w:r w:rsidR="00597CD7">
        <w:rPr>
          <w:sz w:val="22"/>
          <w:szCs w:val="22"/>
          <w:lang w:val="en-GB"/>
        </w:rPr>
        <w:t>remain</w:t>
      </w:r>
      <w:r w:rsidRPr="007A5C5F">
        <w:rPr>
          <w:sz w:val="22"/>
          <w:szCs w:val="22"/>
          <w:lang w:val="en-GB"/>
        </w:rPr>
        <w:t xml:space="preserve"> </w:t>
      </w:r>
      <w:r w:rsidRPr="007A5C5F">
        <w:rPr>
          <w:b/>
          <w:bCs/>
          <w:sz w:val="22"/>
          <w:szCs w:val="22"/>
          <w:lang w:val="en-GB"/>
        </w:rPr>
        <w:t>overburdened with administrative tasks, leaving insufficient time for adjudication,</w:t>
      </w:r>
      <w:r w:rsidRPr="007A5C5F">
        <w:rPr>
          <w:sz w:val="22"/>
          <w:szCs w:val="22"/>
          <w:lang w:val="en-GB"/>
        </w:rPr>
        <w:t xml:space="preserve"> while antiquated processes and the lack of technological integration continue to hinder case management. Additionally, the complexity of the land registration system and the absence of publicly accessible registries create</w:t>
      </w:r>
      <w:r w:rsidR="00DF3B19" w:rsidRPr="007A5C5F">
        <w:rPr>
          <w:sz w:val="22"/>
          <w:szCs w:val="22"/>
          <w:lang w:val="en-GB"/>
        </w:rPr>
        <w:t>d</w:t>
      </w:r>
      <w:r w:rsidRPr="007A5C5F">
        <w:rPr>
          <w:sz w:val="22"/>
          <w:szCs w:val="22"/>
          <w:lang w:val="en-GB"/>
        </w:rPr>
        <w:t xml:space="preserve"> vulnerabilities to </w:t>
      </w:r>
      <w:r w:rsidRPr="007A5C5F">
        <w:rPr>
          <w:rStyle w:val="Strong"/>
          <w:rFonts w:eastAsia="AppleGothic"/>
          <w:sz w:val="22"/>
          <w:szCs w:val="22"/>
          <w:lang w:val="en-GB"/>
        </w:rPr>
        <w:t>corruption</w:t>
      </w:r>
      <w:r w:rsidRPr="007A5C5F">
        <w:rPr>
          <w:sz w:val="22"/>
          <w:szCs w:val="22"/>
          <w:lang w:val="en-GB"/>
        </w:rPr>
        <w:t xml:space="preserve"> and </w:t>
      </w:r>
      <w:r w:rsidR="00597CD7">
        <w:rPr>
          <w:sz w:val="22"/>
          <w:szCs w:val="22"/>
          <w:lang w:val="en-GB"/>
        </w:rPr>
        <w:t>exacerbated</w:t>
      </w:r>
      <w:r w:rsidRPr="007A5C5F">
        <w:rPr>
          <w:sz w:val="22"/>
          <w:szCs w:val="22"/>
          <w:lang w:val="en-GB"/>
        </w:rPr>
        <w:t xml:space="preserve"> delays in resolving disputes. </w:t>
      </w:r>
      <w:r w:rsidRPr="007A5C5F">
        <w:rPr>
          <w:b/>
          <w:bCs/>
          <w:sz w:val="22"/>
          <w:szCs w:val="22"/>
          <w:lang w:val="en-GB"/>
        </w:rPr>
        <w:t>These foundational problems, particularly in areas like contract enforcement and land disputes, render the justice system unreliable for safeguarding economic rights.</w:t>
      </w:r>
    </w:p>
    <w:p w14:paraId="27656AAF" w14:textId="2DDED5B6" w:rsidR="004C796D" w:rsidRPr="007A5C5F" w:rsidRDefault="004C796D" w:rsidP="004C796D">
      <w:pPr>
        <w:pStyle w:val="NormalWeb"/>
        <w:numPr>
          <w:ilvl w:val="0"/>
          <w:numId w:val="49"/>
        </w:numPr>
        <w:jc w:val="both"/>
        <w:rPr>
          <w:sz w:val="22"/>
          <w:szCs w:val="22"/>
          <w:lang w:val="en-GB"/>
        </w:rPr>
      </w:pPr>
      <w:r w:rsidRPr="007A5C5F">
        <w:rPr>
          <w:sz w:val="22"/>
          <w:szCs w:val="22"/>
          <w:lang w:val="en-GB"/>
        </w:rPr>
        <w:t xml:space="preserve">In other words, the Work Plan’s focus on treating symptoms, such as backlogs and case tracking, overlooks the need for systemic reforms, such as human resources management, increasing judicial capacity, addressing administrative inefficiencies, holistic approach to modernizing outdated processes, and establishing transparent, accessible data systems. Without tackling these deeper issues, the proposed activities risk falling short of creating </w:t>
      </w:r>
      <w:r w:rsidR="009E2B5C" w:rsidRPr="007A5C5F">
        <w:rPr>
          <w:sz w:val="22"/>
          <w:szCs w:val="22"/>
          <w:lang w:val="en-GB"/>
        </w:rPr>
        <w:t>a sustainable</w:t>
      </w:r>
      <w:r w:rsidRPr="007A5C5F">
        <w:rPr>
          <w:sz w:val="22"/>
          <w:szCs w:val="22"/>
          <w:lang w:val="en-GB"/>
        </w:rPr>
        <w:t xml:space="preserve"> and transformative impact on the commercial justice system</w:t>
      </w:r>
      <w:r w:rsidR="00F73416">
        <w:rPr>
          <w:rStyle w:val="FootnoteReference"/>
          <w:sz w:val="22"/>
          <w:szCs w:val="22"/>
          <w:lang w:val="en-GB"/>
        </w:rPr>
        <w:footnoteReference w:id="47"/>
      </w:r>
      <w:r w:rsidRPr="007A5C5F">
        <w:rPr>
          <w:sz w:val="22"/>
          <w:szCs w:val="22"/>
          <w:lang w:val="en-GB"/>
        </w:rPr>
        <w:t xml:space="preserve">. </w:t>
      </w:r>
    </w:p>
    <w:p w14:paraId="025F73AA" w14:textId="3259CF05" w:rsidR="007C3C24" w:rsidRPr="007A5C5F" w:rsidRDefault="00B2500C" w:rsidP="007C3C24">
      <w:pPr>
        <w:pStyle w:val="NormalWeb"/>
        <w:numPr>
          <w:ilvl w:val="0"/>
          <w:numId w:val="49"/>
        </w:numPr>
        <w:jc w:val="both"/>
        <w:rPr>
          <w:sz w:val="22"/>
          <w:szCs w:val="22"/>
          <w:lang w:val="en-GB"/>
        </w:rPr>
      </w:pPr>
      <w:r w:rsidRPr="007A5C5F">
        <w:rPr>
          <w:sz w:val="22"/>
          <w:szCs w:val="22"/>
          <w:lang w:val="en-GB"/>
        </w:rPr>
        <w:t xml:space="preserve">Embedding these activities within the current project, particularly given the delayed approval of the work plan and constrained stakeholder engagement, risks diluting focus and effectiveness across other </w:t>
      </w:r>
      <w:r w:rsidR="007C3C24" w:rsidRPr="007A5C5F">
        <w:rPr>
          <w:sz w:val="22"/>
          <w:szCs w:val="22"/>
          <w:lang w:val="en-GB"/>
        </w:rPr>
        <w:t>priorities. Additionally</w:t>
      </w:r>
      <w:r w:rsidRPr="007A5C5F">
        <w:rPr>
          <w:sz w:val="22"/>
          <w:szCs w:val="22"/>
          <w:lang w:val="en-GB"/>
        </w:rPr>
        <w:t>, the limited timeframe, even with a potential two-year extension, is insufficient to achieve the systemic changes required to implement the IMF's recommendations</w:t>
      </w:r>
      <w:r w:rsidR="00E00949" w:rsidRPr="007A5C5F">
        <w:rPr>
          <w:sz w:val="22"/>
          <w:szCs w:val="22"/>
          <w:lang w:val="en-GB"/>
        </w:rPr>
        <w:t xml:space="preserve"> </w:t>
      </w:r>
      <w:r w:rsidRPr="007A5C5F">
        <w:rPr>
          <w:sz w:val="22"/>
          <w:szCs w:val="22"/>
          <w:lang w:val="en-GB"/>
        </w:rPr>
        <w:t xml:space="preserve">comprehensively. </w:t>
      </w:r>
    </w:p>
    <w:p w14:paraId="10B792EC" w14:textId="77777777" w:rsidR="00E00949" w:rsidRPr="007A5C5F" w:rsidRDefault="00E00949" w:rsidP="00E00949">
      <w:pPr>
        <w:pStyle w:val="NormalWeb"/>
        <w:numPr>
          <w:ilvl w:val="0"/>
          <w:numId w:val="49"/>
        </w:numPr>
        <w:jc w:val="both"/>
        <w:rPr>
          <w:lang w:val="en-GB"/>
        </w:rPr>
      </w:pPr>
      <w:r w:rsidRPr="007A5C5F">
        <w:rPr>
          <w:rFonts w:eastAsia="SimSun"/>
          <w:b/>
          <w:bCs/>
          <w:color w:val="000000" w:themeColor="text1"/>
          <w:sz w:val="22"/>
          <w:szCs w:val="22"/>
          <w:lang w:val="en-GB" w:eastAsia="zh-CN"/>
        </w:rPr>
        <w:t>Finding 3. The omission of initiatives supporting the development of environmental justice in the 2024 Work Plan represents a critical gap, particularly given the proven success and innovative impact of environmental justice under the JURE program.</w:t>
      </w:r>
      <w:r w:rsidRPr="007A5C5F">
        <w:rPr>
          <w:lang w:val="en-GB"/>
        </w:rPr>
        <w:t xml:space="preserve"> </w:t>
      </w:r>
    </w:p>
    <w:p w14:paraId="187E9E1D" w14:textId="189A1C07" w:rsidR="00E00949" w:rsidRPr="007A5C5F" w:rsidRDefault="00E00949" w:rsidP="00E00949">
      <w:pPr>
        <w:pStyle w:val="NormalWeb"/>
        <w:numPr>
          <w:ilvl w:val="0"/>
          <w:numId w:val="49"/>
        </w:numPr>
        <w:jc w:val="both"/>
        <w:rPr>
          <w:sz w:val="22"/>
          <w:szCs w:val="22"/>
          <w:lang w:val="en-GB"/>
        </w:rPr>
      </w:pPr>
      <w:r w:rsidRPr="007A5C5F">
        <w:rPr>
          <w:sz w:val="22"/>
          <w:szCs w:val="22"/>
          <w:lang w:val="en-GB"/>
        </w:rPr>
        <w:t>Environmental justice was one of the most progressive and forward-looking components of JURE, exemplified by its collaboration with the University of Colombo</w:t>
      </w:r>
      <w:r w:rsidR="00FA602C">
        <w:rPr>
          <w:sz w:val="22"/>
          <w:szCs w:val="22"/>
          <w:lang w:val="en-GB"/>
        </w:rPr>
        <w:t xml:space="preserve"> (UOC)</w:t>
      </w:r>
      <w:r w:rsidRPr="007A5C5F">
        <w:rPr>
          <w:sz w:val="22"/>
          <w:szCs w:val="22"/>
          <w:lang w:val="en-GB"/>
        </w:rPr>
        <w:t xml:space="preserve">. This partnership led to notable and sustainable achievements, including the establishment of South Asia's first </w:t>
      </w:r>
      <w:proofErr w:type="gramStart"/>
      <w:r w:rsidRPr="007A5C5F">
        <w:rPr>
          <w:sz w:val="22"/>
          <w:szCs w:val="22"/>
          <w:lang w:val="en-GB"/>
        </w:rPr>
        <w:t>Master’s</w:t>
      </w:r>
      <w:proofErr w:type="gramEnd"/>
      <w:r w:rsidRPr="007A5C5F">
        <w:rPr>
          <w:sz w:val="22"/>
          <w:szCs w:val="22"/>
          <w:lang w:val="en-GB"/>
        </w:rPr>
        <w:t xml:space="preserve"> program in Environmental and Climate Change Law</w:t>
      </w:r>
      <w:r w:rsidRPr="007A5C5F">
        <w:rPr>
          <w:rStyle w:val="FootnoteReference"/>
          <w:sz w:val="22"/>
          <w:szCs w:val="22"/>
          <w:lang w:val="en-GB"/>
        </w:rPr>
        <w:footnoteReference w:id="48"/>
      </w:r>
      <w:r w:rsidRPr="007A5C5F">
        <w:rPr>
          <w:sz w:val="22"/>
          <w:szCs w:val="22"/>
          <w:lang w:val="en-GB"/>
        </w:rPr>
        <w:t>. This program addressed critical gaps in Sri Lanka's legal framework, equipping legal professionals to address the rights of individuals affected by environmental violations and climate-related challenges</w:t>
      </w:r>
      <w:r w:rsidRPr="007A5C5F">
        <w:rPr>
          <w:rStyle w:val="FootnoteReference"/>
          <w:sz w:val="22"/>
          <w:szCs w:val="22"/>
          <w:lang w:val="en-GB"/>
        </w:rPr>
        <w:footnoteReference w:id="49"/>
      </w:r>
      <w:r w:rsidRPr="007A5C5F">
        <w:rPr>
          <w:sz w:val="22"/>
          <w:szCs w:val="22"/>
          <w:lang w:val="en-GB"/>
        </w:rPr>
        <w:t>.</w:t>
      </w:r>
    </w:p>
    <w:p w14:paraId="4C848232" w14:textId="77777777" w:rsidR="00E00949" w:rsidRPr="007A5C5F" w:rsidRDefault="00E00949" w:rsidP="00E00949">
      <w:pPr>
        <w:pStyle w:val="NormalWeb"/>
        <w:numPr>
          <w:ilvl w:val="0"/>
          <w:numId w:val="49"/>
        </w:numPr>
        <w:jc w:val="both"/>
        <w:rPr>
          <w:sz w:val="22"/>
          <w:szCs w:val="22"/>
          <w:lang w:val="en-GB"/>
        </w:rPr>
      </w:pPr>
      <w:r w:rsidRPr="007A5C5F">
        <w:rPr>
          <w:sz w:val="22"/>
          <w:szCs w:val="22"/>
          <w:lang w:val="en-GB"/>
        </w:rPr>
        <w:t xml:space="preserve">The lack of planned initiatives in 2024 to build on these achievements is particularly surprising given the program’s alignment with both Sri Lanka’s national priorities and international commitments to environmental protection and climate action. The </w:t>
      </w:r>
      <w:proofErr w:type="gramStart"/>
      <w:r w:rsidRPr="007A5C5F">
        <w:rPr>
          <w:sz w:val="22"/>
          <w:szCs w:val="22"/>
          <w:lang w:val="en-GB"/>
        </w:rPr>
        <w:t>Master’s</w:t>
      </w:r>
      <w:proofErr w:type="gramEnd"/>
      <w:r w:rsidRPr="007A5C5F">
        <w:rPr>
          <w:sz w:val="22"/>
          <w:szCs w:val="22"/>
          <w:lang w:val="en-GB"/>
        </w:rPr>
        <w:t xml:space="preserve"> program not only addressed the immediate need for legal expertise in environmental justice but also provided a long-term solution to capacity-building in this field. Moreover, the omission ignores the demonstrated </w:t>
      </w:r>
      <w:r w:rsidRPr="007A5C5F">
        <w:rPr>
          <w:b/>
          <w:bCs/>
          <w:sz w:val="22"/>
          <w:szCs w:val="22"/>
          <w:lang w:val="en-GB"/>
        </w:rPr>
        <w:t>demand for trained legal professionals who can enforce environmental laws</w:t>
      </w:r>
      <w:r w:rsidRPr="007A5C5F">
        <w:rPr>
          <w:sz w:val="22"/>
          <w:szCs w:val="22"/>
          <w:lang w:val="en-GB"/>
        </w:rPr>
        <w:t xml:space="preserve"> and </w:t>
      </w:r>
      <w:r w:rsidRPr="007A5C5F">
        <w:rPr>
          <w:b/>
          <w:bCs/>
          <w:sz w:val="22"/>
          <w:szCs w:val="22"/>
          <w:lang w:val="en-GB"/>
        </w:rPr>
        <w:t>protect vulnerable communities affected by environmental harm,</w:t>
      </w:r>
      <w:r w:rsidRPr="007A5C5F">
        <w:rPr>
          <w:sz w:val="22"/>
          <w:szCs w:val="22"/>
          <w:lang w:val="en-GB"/>
        </w:rPr>
        <w:t xml:space="preserve"> a pressing issue for a country heavily impacted by climate change.</w:t>
      </w:r>
    </w:p>
    <w:p w14:paraId="33AF2B8F" w14:textId="1C2210E2" w:rsidR="00E00949" w:rsidRPr="007A5C5F" w:rsidRDefault="00E00949" w:rsidP="00E00949">
      <w:pPr>
        <w:pStyle w:val="NormalWeb"/>
        <w:numPr>
          <w:ilvl w:val="0"/>
          <w:numId w:val="49"/>
        </w:numPr>
        <w:jc w:val="both"/>
        <w:rPr>
          <w:sz w:val="22"/>
          <w:szCs w:val="22"/>
          <w:lang w:val="en-GB"/>
        </w:rPr>
      </w:pPr>
      <w:r w:rsidRPr="007A5C5F">
        <w:rPr>
          <w:sz w:val="22"/>
          <w:szCs w:val="22"/>
          <w:lang w:val="en-GB"/>
        </w:rPr>
        <w:t xml:space="preserve">This gap in the Work </w:t>
      </w:r>
      <w:r w:rsidRPr="007A5C5F">
        <w:rPr>
          <w:b/>
          <w:bCs/>
          <w:sz w:val="22"/>
          <w:szCs w:val="22"/>
          <w:lang w:val="en-GB"/>
        </w:rPr>
        <w:t>Plan jeopardizes the sustainability of previous investments</w:t>
      </w:r>
      <w:r w:rsidRPr="007A5C5F">
        <w:rPr>
          <w:sz w:val="22"/>
          <w:szCs w:val="22"/>
          <w:lang w:val="en-GB"/>
        </w:rPr>
        <w:t xml:space="preserve"> and the continued impact of the JURE program in advancing environmental justice. Without continued support, there is a risk of losing the institutional knowledge and capacity that were painstakingly developed through JURE’s efforts. Given the importance of environmental justice in addressing both local and global challenges, the omission of related initiatives in the 2024 Work Plan represents a missed opportunity to capitalize on previous successes and respond to pressing environmental and legal needs in Sri Lanka.</w:t>
      </w:r>
    </w:p>
    <w:p w14:paraId="71048F4E" w14:textId="420A7E17" w:rsidR="007C3C24" w:rsidRPr="007A5C5F" w:rsidRDefault="00C067E7" w:rsidP="007C3C24">
      <w:pPr>
        <w:pStyle w:val="NormalWeb"/>
        <w:numPr>
          <w:ilvl w:val="0"/>
          <w:numId w:val="49"/>
        </w:numPr>
        <w:jc w:val="both"/>
        <w:rPr>
          <w:sz w:val="22"/>
          <w:szCs w:val="22"/>
          <w:lang w:val="en-GB"/>
        </w:rPr>
      </w:pPr>
      <w:r w:rsidRPr="007A5C5F">
        <w:rPr>
          <w:b/>
          <w:bCs/>
          <w:sz w:val="22"/>
          <w:szCs w:val="22"/>
          <w:lang w:val="en-GB"/>
        </w:rPr>
        <w:t>Stakeholders’</w:t>
      </w:r>
      <w:r w:rsidR="001F6DA6" w:rsidRPr="007A5C5F">
        <w:rPr>
          <w:b/>
          <w:bCs/>
          <w:sz w:val="22"/>
          <w:szCs w:val="22"/>
          <w:lang w:val="en-GB"/>
        </w:rPr>
        <w:t xml:space="preserve"> enga</w:t>
      </w:r>
      <w:r w:rsidR="009E2B5C" w:rsidRPr="007A5C5F">
        <w:rPr>
          <w:b/>
          <w:bCs/>
          <w:sz w:val="22"/>
          <w:szCs w:val="22"/>
          <w:lang w:val="en-GB"/>
        </w:rPr>
        <w:t>ge</w:t>
      </w:r>
      <w:r w:rsidR="001F6DA6" w:rsidRPr="007A5C5F">
        <w:rPr>
          <w:b/>
          <w:bCs/>
          <w:sz w:val="22"/>
          <w:szCs w:val="22"/>
          <w:lang w:val="en-GB"/>
        </w:rPr>
        <w:t>ment</w:t>
      </w:r>
      <w:r w:rsidR="00EE66D8" w:rsidRPr="007A5C5F">
        <w:rPr>
          <w:b/>
          <w:bCs/>
          <w:sz w:val="22"/>
          <w:szCs w:val="22"/>
          <w:lang w:val="en-GB"/>
        </w:rPr>
        <w:t xml:space="preserve">, </w:t>
      </w:r>
      <w:r w:rsidR="00EB4AC9" w:rsidRPr="007A5C5F">
        <w:rPr>
          <w:b/>
          <w:bCs/>
          <w:sz w:val="22"/>
          <w:szCs w:val="22"/>
          <w:lang w:val="en-GB"/>
        </w:rPr>
        <w:t xml:space="preserve">Relevance of the design, </w:t>
      </w:r>
      <w:r w:rsidR="00597CD7">
        <w:rPr>
          <w:b/>
          <w:bCs/>
          <w:sz w:val="22"/>
          <w:szCs w:val="22"/>
          <w:lang w:val="en-GB"/>
        </w:rPr>
        <w:t xml:space="preserve">and </w:t>
      </w:r>
      <w:r w:rsidR="00EE66D8" w:rsidRPr="007A5C5F">
        <w:rPr>
          <w:b/>
          <w:bCs/>
          <w:sz w:val="22"/>
          <w:szCs w:val="22"/>
          <w:lang w:val="en-GB"/>
        </w:rPr>
        <w:t>I</w:t>
      </w:r>
      <w:r w:rsidR="00EB4AC9" w:rsidRPr="007A5C5F">
        <w:rPr>
          <w:b/>
          <w:bCs/>
          <w:sz w:val="22"/>
          <w:szCs w:val="22"/>
          <w:lang w:val="en-GB"/>
        </w:rPr>
        <w:t>mplementation approaches.</w:t>
      </w:r>
      <w:r w:rsidR="007C3C24" w:rsidRPr="007A5C5F">
        <w:rPr>
          <w:sz w:val="22"/>
          <w:szCs w:val="22"/>
          <w:lang w:val="en-GB"/>
        </w:rPr>
        <w:t xml:space="preserve"> </w:t>
      </w:r>
      <w:r w:rsidR="00EE66D8" w:rsidRPr="007A5C5F">
        <w:rPr>
          <w:sz w:val="22"/>
          <w:szCs w:val="22"/>
          <w:lang w:val="en-GB"/>
        </w:rPr>
        <w:t>The project strategically aligned its activities with key stakeholders to address systemic challenges within Sri Lanka's legal aid system. Historically, the legal aid infrastructure has struggled to meet the growing demand for access to justice, a situation exacerbated by the collapse of the national economy. Recognizing the government’s constrained fiscal capacity to expand legal aid services, the project engaged stakeholders such as the Ministry of Justice (MOJ), the Bar Association of Sri Lanka (BASL), and academic institutions to diversify and strengthen legal aid provisions. Some examples of engagement efforts included:</w:t>
      </w:r>
    </w:p>
    <w:p w14:paraId="67445331" w14:textId="64405B5A" w:rsidR="007C3C24" w:rsidRPr="007A5C5F" w:rsidRDefault="00EE66D8" w:rsidP="007C3C24">
      <w:pPr>
        <w:pStyle w:val="NormalWeb"/>
        <w:numPr>
          <w:ilvl w:val="0"/>
          <w:numId w:val="66"/>
        </w:numPr>
        <w:jc w:val="both"/>
        <w:rPr>
          <w:lang w:val="en-GB"/>
        </w:rPr>
      </w:pPr>
      <w:r w:rsidRPr="007A5C5F">
        <w:rPr>
          <w:rFonts w:eastAsia="Calibri"/>
          <w:b/>
          <w:bCs/>
          <w:color w:val="000000"/>
          <w:sz w:val="22"/>
          <w:szCs w:val="22"/>
          <w:lang w:val="en-GB"/>
        </w:rPr>
        <w:t>Collaboration with the Ministry of Justice:</w:t>
      </w:r>
      <w:r w:rsidRPr="007A5C5F">
        <w:rPr>
          <w:rFonts w:eastAsia="Calibri"/>
          <w:color w:val="000000"/>
          <w:sz w:val="22"/>
          <w:szCs w:val="22"/>
          <w:lang w:val="en-GB"/>
        </w:rPr>
        <w:t xml:space="preserve"> The project worked closely with the MOJ to</w:t>
      </w:r>
      <w:r w:rsidR="00597CD7">
        <w:rPr>
          <w:rFonts w:eastAsia="Calibri"/>
          <w:color w:val="000000"/>
          <w:sz w:val="22"/>
          <w:szCs w:val="22"/>
          <w:lang w:val="en-GB"/>
        </w:rPr>
        <w:t xml:space="preserve"> </w:t>
      </w:r>
      <w:r w:rsidRPr="007A5C5F">
        <w:rPr>
          <w:rFonts w:eastAsia="Calibri"/>
          <w:color w:val="000000"/>
          <w:sz w:val="22"/>
          <w:szCs w:val="22"/>
          <w:lang w:val="en-GB"/>
        </w:rPr>
        <w:t>develop</w:t>
      </w:r>
      <w:r w:rsidR="00597CD7">
        <w:rPr>
          <w:rFonts w:eastAsia="Calibri"/>
          <w:color w:val="000000"/>
          <w:sz w:val="22"/>
          <w:szCs w:val="22"/>
          <w:lang w:val="en-GB"/>
        </w:rPr>
        <w:t xml:space="preserve"> </w:t>
      </w:r>
      <w:r w:rsidRPr="007A5C5F">
        <w:rPr>
          <w:rFonts w:eastAsia="Calibri"/>
          <w:color w:val="000000"/>
          <w:sz w:val="22"/>
          <w:szCs w:val="22"/>
          <w:lang w:val="en-GB"/>
        </w:rPr>
        <w:t xml:space="preserve">a holistic and strategic approach to legal aid. This approach sought to overcome the ad hoc and </w:t>
      </w:r>
      <w:r w:rsidRPr="007A5C5F">
        <w:rPr>
          <w:rFonts w:eastAsia="Calibri"/>
          <w:color w:val="000000"/>
          <w:sz w:val="22"/>
          <w:szCs w:val="22"/>
          <w:lang w:val="en-GB"/>
        </w:rPr>
        <w:lastRenderedPageBreak/>
        <w:t>fragmented nature of previous efforts by introducing a more coordinated use of resources, leveraging the expertise of diverse stakeholders.</w:t>
      </w:r>
    </w:p>
    <w:p w14:paraId="2BD46154" w14:textId="77777777" w:rsidR="007C3C24" w:rsidRPr="007A5C5F" w:rsidRDefault="00EE66D8" w:rsidP="007C3C24">
      <w:pPr>
        <w:pStyle w:val="NormalWeb"/>
        <w:numPr>
          <w:ilvl w:val="0"/>
          <w:numId w:val="66"/>
        </w:numPr>
        <w:jc w:val="both"/>
        <w:rPr>
          <w:lang w:val="en-GB"/>
        </w:rPr>
      </w:pPr>
      <w:r w:rsidRPr="007A5C5F">
        <w:rPr>
          <w:rFonts w:eastAsia="Calibri"/>
          <w:b/>
          <w:bCs/>
          <w:color w:val="000000"/>
          <w:sz w:val="22"/>
          <w:szCs w:val="22"/>
          <w:lang w:val="en-GB"/>
        </w:rPr>
        <w:t>Partnership with BASL:</w:t>
      </w:r>
      <w:r w:rsidRPr="007A5C5F">
        <w:rPr>
          <w:rFonts w:eastAsia="Calibri"/>
          <w:color w:val="000000"/>
          <w:sz w:val="22"/>
          <w:szCs w:val="22"/>
          <w:lang w:val="en-GB"/>
        </w:rPr>
        <w:t xml:space="preserve"> To enhance accessibility, the project established legal aid desks in collaboration with BASL. These desks served as entry points for marginalized populations seeking legal assistance, fostering trust and expanding outreach.</w:t>
      </w:r>
    </w:p>
    <w:p w14:paraId="352E97DA" w14:textId="1BB35AF6" w:rsidR="007C3C24" w:rsidRPr="007A5C5F" w:rsidRDefault="00EE66D8" w:rsidP="007C3C24">
      <w:pPr>
        <w:pStyle w:val="NormalWeb"/>
        <w:numPr>
          <w:ilvl w:val="0"/>
          <w:numId w:val="66"/>
        </w:numPr>
        <w:jc w:val="both"/>
        <w:rPr>
          <w:lang w:val="en-GB"/>
        </w:rPr>
      </w:pPr>
      <w:r w:rsidRPr="007A5C5F">
        <w:rPr>
          <w:rFonts w:eastAsia="Calibri"/>
          <w:b/>
          <w:bCs/>
          <w:color w:val="000000"/>
          <w:sz w:val="22"/>
          <w:szCs w:val="22"/>
          <w:lang w:val="en-GB"/>
        </w:rPr>
        <w:t xml:space="preserve">Engagement with Academic </w:t>
      </w:r>
      <w:r w:rsidR="009E2B5C" w:rsidRPr="007A5C5F">
        <w:rPr>
          <w:rFonts w:eastAsia="Calibri"/>
          <w:b/>
          <w:bCs/>
          <w:color w:val="000000"/>
          <w:sz w:val="22"/>
          <w:szCs w:val="22"/>
          <w:lang w:val="en-GB"/>
        </w:rPr>
        <w:t>Institutions</w:t>
      </w:r>
      <w:r w:rsidRPr="007A5C5F">
        <w:rPr>
          <w:rFonts w:eastAsia="Calibri"/>
          <w:b/>
          <w:bCs/>
          <w:color w:val="000000"/>
          <w:sz w:val="22"/>
          <w:szCs w:val="22"/>
          <w:lang w:val="en-GB"/>
        </w:rPr>
        <w:t>:</w:t>
      </w:r>
      <w:r w:rsidRPr="007A5C5F">
        <w:rPr>
          <w:rFonts w:eastAsia="Calibri"/>
          <w:color w:val="000000"/>
          <w:sz w:val="22"/>
          <w:szCs w:val="22"/>
          <w:lang w:val="en-GB"/>
        </w:rPr>
        <w:t xml:space="preserve"> The introduction of legal aid clinics in collaboration with law students created opportunities for experiential learning while addressing legal aid gaps in underserved areas.</w:t>
      </w:r>
    </w:p>
    <w:p w14:paraId="3546C47D" w14:textId="77777777" w:rsidR="007C3C24" w:rsidRPr="007A5C5F" w:rsidRDefault="00EE66D8" w:rsidP="007C3C24">
      <w:pPr>
        <w:pStyle w:val="NormalWeb"/>
        <w:numPr>
          <w:ilvl w:val="0"/>
          <w:numId w:val="66"/>
        </w:numPr>
        <w:jc w:val="both"/>
        <w:rPr>
          <w:lang w:val="en-GB"/>
        </w:rPr>
      </w:pPr>
      <w:r w:rsidRPr="007A5C5F">
        <w:rPr>
          <w:rFonts w:eastAsia="Calibri"/>
          <w:b/>
          <w:bCs/>
          <w:color w:val="000000"/>
          <w:sz w:val="22"/>
          <w:szCs w:val="22"/>
          <w:lang w:val="en-GB"/>
        </w:rPr>
        <w:t>Exploration of a Paralegal System:</w:t>
      </w:r>
      <w:r w:rsidRPr="007A5C5F">
        <w:rPr>
          <w:rFonts w:eastAsia="Calibri"/>
          <w:color w:val="000000"/>
          <w:sz w:val="22"/>
          <w:szCs w:val="22"/>
          <w:lang w:val="en-GB"/>
        </w:rPr>
        <w:t xml:space="preserve"> The project-initiated discussions and pilot activities to introduce a paralegal system, expanding the network of legal aid providers and bridging critical service gaps.</w:t>
      </w:r>
    </w:p>
    <w:p w14:paraId="3F9EFCEE" w14:textId="1B5FA15D" w:rsidR="00636A09" w:rsidRPr="007A5C5F" w:rsidRDefault="00636A09" w:rsidP="007C3C24">
      <w:pPr>
        <w:pStyle w:val="NormalWeb"/>
        <w:numPr>
          <w:ilvl w:val="0"/>
          <w:numId w:val="49"/>
        </w:numPr>
        <w:jc w:val="both"/>
        <w:rPr>
          <w:lang w:val="en-GB"/>
        </w:rPr>
      </w:pPr>
      <w:r w:rsidRPr="007A5C5F">
        <w:rPr>
          <w:rFonts w:eastAsia="Calibri"/>
          <w:b/>
          <w:bCs/>
          <w:color w:val="000000"/>
          <w:sz w:val="22"/>
          <w:szCs w:val="22"/>
          <w:lang w:val="en-GB"/>
        </w:rPr>
        <w:t>National Human Rights Commission (NHRC):</w:t>
      </w:r>
      <w:r w:rsidRPr="007A5C5F">
        <w:rPr>
          <w:rFonts w:eastAsia="Calibri"/>
          <w:color w:val="000000"/>
          <w:sz w:val="22"/>
          <w:szCs w:val="22"/>
          <w:lang w:val="en-GB"/>
        </w:rPr>
        <w:t xml:space="preserve"> While some forms of support to the National Human Rights Commission (NHRC) were discontinued, such as financial assistance to its regional offices, the NHRC expressed a preference for a more strategic and impactful form of support moving forward. Specifically, the institution indicated that it would rather receive high-level technical expertise to strengthen its capacity </w:t>
      </w:r>
      <w:r w:rsidR="00597CD7">
        <w:rPr>
          <w:rFonts w:eastAsia="Calibri"/>
          <w:color w:val="000000"/>
          <w:sz w:val="22"/>
          <w:szCs w:val="22"/>
          <w:lang w:val="en-GB"/>
        </w:rPr>
        <w:t>to address</w:t>
      </w:r>
      <w:r w:rsidRPr="007A5C5F">
        <w:rPr>
          <w:rFonts w:eastAsia="Calibri"/>
          <w:color w:val="000000"/>
          <w:sz w:val="22"/>
          <w:szCs w:val="22"/>
          <w:lang w:val="en-GB"/>
        </w:rPr>
        <w:t xml:space="preserve"> emerging challenges and </w:t>
      </w:r>
      <w:r w:rsidR="00597CD7">
        <w:rPr>
          <w:rFonts w:eastAsia="Calibri"/>
          <w:color w:val="000000"/>
          <w:sz w:val="22"/>
          <w:szCs w:val="22"/>
          <w:lang w:val="en-GB"/>
        </w:rPr>
        <w:t>fulfil</w:t>
      </w:r>
      <w:r w:rsidRPr="007A5C5F">
        <w:rPr>
          <w:rFonts w:eastAsia="Calibri"/>
          <w:color w:val="000000"/>
          <w:sz w:val="22"/>
          <w:szCs w:val="22"/>
          <w:lang w:val="en-GB"/>
        </w:rPr>
        <w:t xml:space="preserve"> its </w:t>
      </w:r>
      <w:r w:rsidR="007C3C24" w:rsidRPr="007A5C5F">
        <w:rPr>
          <w:rFonts w:eastAsia="Calibri"/>
          <w:color w:val="000000"/>
          <w:sz w:val="22"/>
          <w:szCs w:val="22"/>
          <w:lang w:val="en-GB"/>
        </w:rPr>
        <w:t>mandate. The</w:t>
      </w:r>
      <w:r w:rsidRPr="007A5C5F">
        <w:rPr>
          <w:rFonts w:eastAsia="Calibri"/>
          <w:color w:val="000000"/>
          <w:sz w:val="22"/>
          <w:szCs w:val="22"/>
          <w:lang w:val="en-GB"/>
        </w:rPr>
        <w:t xml:space="preserve"> requested forms of support included:</w:t>
      </w:r>
    </w:p>
    <w:p w14:paraId="515A0FB3" w14:textId="77777777" w:rsidR="00636A09" w:rsidRPr="007A5C5F" w:rsidRDefault="00636A09" w:rsidP="0087048E">
      <w:pPr>
        <w:numPr>
          <w:ilvl w:val="0"/>
          <w:numId w:val="67"/>
        </w:numPr>
        <w:pBdr>
          <w:top w:val="nil"/>
          <w:left w:val="nil"/>
          <w:bottom w:val="nil"/>
          <w:right w:val="nil"/>
          <w:between w:val="nil"/>
        </w:pBdr>
        <w:ind w:right="1296"/>
        <w:contextualSpacing/>
        <w:jc w:val="both"/>
        <w:rPr>
          <w:rFonts w:eastAsia="Calibri"/>
          <w:i/>
          <w:iCs/>
          <w:color w:val="000000"/>
          <w:sz w:val="22"/>
          <w:szCs w:val="22"/>
          <w:lang w:val="en-GB"/>
        </w:rPr>
      </w:pPr>
      <w:r w:rsidRPr="007A5C5F">
        <w:rPr>
          <w:rFonts w:eastAsia="Calibri"/>
          <w:b/>
          <w:bCs/>
          <w:i/>
          <w:iCs/>
          <w:color w:val="000000"/>
          <w:sz w:val="22"/>
          <w:szCs w:val="22"/>
          <w:lang w:val="en-GB"/>
        </w:rPr>
        <w:t>Digital Transformation:</w:t>
      </w:r>
      <w:r w:rsidRPr="007A5C5F">
        <w:rPr>
          <w:rFonts w:eastAsia="Calibri"/>
          <w:i/>
          <w:iCs/>
          <w:color w:val="000000"/>
          <w:sz w:val="22"/>
          <w:szCs w:val="22"/>
          <w:lang w:val="en-GB"/>
        </w:rPr>
        <w:t xml:space="preserve"> Assistance in digitizing administrative processes to enhance efficiency, transparency, and operational accessibility.</w:t>
      </w:r>
    </w:p>
    <w:p w14:paraId="07192CAF" w14:textId="77777777" w:rsidR="00636A09" w:rsidRPr="007A5C5F" w:rsidRDefault="00636A09" w:rsidP="0087048E">
      <w:pPr>
        <w:numPr>
          <w:ilvl w:val="0"/>
          <w:numId w:val="67"/>
        </w:numPr>
        <w:pBdr>
          <w:top w:val="nil"/>
          <w:left w:val="nil"/>
          <w:bottom w:val="nil"/>
          <w:right w:val="nil"/>
          <w:between w:val="nil"/>
        </w:pBdr>
        <w:ind w:right="1296"/>
        <w:contextualSpacing/>
        <w:jc w:val="both"/>
        <w:rPr>
          <w:rFonts w:eastAsia="Calibri"/>
          <w:i/>
          <w:iCs/>
          <w:color w:val="000000"/>
          <w:sz w:val="22"/>
          <w:szCs w:val="22"/>
          <w:lang w:val="en-GB"/>
        </w:rPr>
      </w:pPr>
      <w:r w:rsidRPr="007A5C5F">
        <w:rPr>
          <w:rFonts w:eastAsia="Calibri"/>
          <w:b/>
          <w:bCs/>
          <w:i/>
          <w:iCs/>
          <w:color w:val="000000"/>
          <w:sz w:val="22"/>
          <w:szCs w:val="22"/>
          <w:lang w:val="en-GB"/>
        </w:rPr>
        <w:t>Capacity Building:</w:t>
      </w:r>
      <w:r w:rsidRPr="007A5C5F">
        <w:rPr>
          <w:rFonts w:eastAsia="Calibri"/>
          <w:i/>
          <w:iCs/>
          <w:color w:val="000000"/>
          <w:sz w:val="22"/>
          <w:szCs w:val="22"/>
          <w:lang w:val="en-GB"/>
        </w:rPr>
        <w:t xml:space="preserve"> Targeted training for NHRC staff to equip them with skills and knowledge in emerging areas, such as defending human rights in the context of digital crimes.</w:t>
      </w:r>
    </w:p>
    <w:p w14:paraId="6BD3E334" w14:textId="77777777" w:rsidR="00636A09" w:rsidRPr="007A5C5F" w:rsidRDefault="00636A09" w:rsidP="0087048E">
      <w:pPr>
        <w:numPr>
          <w:ilvl w:val="0"/>
          <w:numId w:val="67"/>
        </w:numPr>
        <w:pBdr>
          <w:top w:val="nil"/>
          <w:left w:val="nil"/>
          <w:bottom w:val="nil"/>
          <w:right w:val="nil"/>
          <w:between w:val="nil"/>
        </w:pBdr>
        <w:ind w:right="1296"/>
        <w:contextualSpacing/>
        <w:jc w:val="both"/>
        <w:rPr>
          <w:rFonts w:eastAsia="Calibri"/>
          <w:i/>
          <w:iCs/>
          <w:color w:val="000000"/>
          <w:sz w:val="22"/>
          <w:szCs w:val="22"/>
          <w:lang w:val="en-GB"/>
        </w:rPr>
      </w:pPr>
      <w:r w:rsidRPr="007A5C5F">
        <w:rPr>
          <w:rFonts w:eastAsia="Calibri"/>
          <w:b/>
          <w:bCs/>
          <w:i/>
          <w:iCs/>
          <w:color w:val="000000"/>
          <w:sz w:val="22"/>
          <w:szCs w:val="22"/>
          <w:lang w:val="en-GB"/>
        </w:rPr>
        <w:t>Environmental Justice:</w:t>
      </w:r>
      <w:r w:rsidRPr="007A5C5F">
        <w:rPr>
          <w:rFonts w:eastAsia="Calibri"/>
          <w:i/>
          <w:iCs/>
          <w:color w:val="000000"/>
          <w:sz w:val="22"/>
          <w:szCs w:val="22"/>
          <w:lang w:val="en-GB"/>
        </w:rPr>
        <w:t xml:space="preserve"> Support for building the NHRC’s capacity to tackle environmental justice issues, reflecting its growing importance in the human rights domain.</w:t>
      </w:r>
    </w:p>
    <w:p w14:paraId="3AC0337C" w14:textId="77777777" w:rsidR="00636A09" w:rsidRPr="007A5C5F" w:rsidRDefault="00636A09" w:rsidP="0087048E">
      <w:pPr>
        <w:pStyle w:val="ListParagraph"/>
        <w:numPr>
          <w:ilvl w:val="0"/>
          <w:numId w:val="67"/>
        </w:numPr>
        <w:pBdr>
          <w:top w:val="nil"/>
          <w:left w:val="nil"/>
          <w:bottom w:val="nil"/>
          <w:right w:val="nil"/>
          <w:between w:val="nil"/>
        </w:pBdr>
        <w:adjustRightInd/>
        <w:snapToGrid/>
        <w:ind w:right="1296"/>
        <w:jc w:val="both"/>
        <w:rPr>
          <w:rFonts w:eastAsia="Calibri"/>
          <w:i/>
          <w:iCs/>
          <w:color w:val="000000"/>
          <w:sz w:val="22"/>
          <w:szCs w:val="22"/>
          <w:lang w:val="en-GB"/>
        </w:rPr>
      </w:pPr>
      <w:r w:rsidRPr="007A5C5F">
        <w:rPr>
          <w:rFonts w:eastAsia="Calibri"/>
          <w:i/>
          <w:iCs/>
          <w:color w:val="000000"/>
          <w:sz w:val="22"/>
          <w:szCs w:val="22"/>
          <w:lang w:val="en-GB"/>
        </w:rPr>
        <w:t>However, as of the evaluation period, these forms of technical assistance had not yet materialized. This delay highlights a gap between the NHRC's expressed needs and the project's ability to respond effectively within the reporting timeframe. Addressing this gap in future phases of the project will be essential to ensuring alignment with stakeholder priorities and achieving long-term sustainability in the NHRC's operations.</w:t>
      </w:r>
    </w:p>
    <w:p w14:paraId="5772423F" w14:textId="77777777" w:rsidR="00636A09" w:rsidRPr="007A5C5F" w:rsidRDefault="00636A09" w:rsidP="007C3C24">
      <w:pPr>
        <w:pBdr>
          <w:top w:val="nil"/>
          <w:left w:val="nil"/>
          <w:bottom w:val="nil"/>
          <w:right w:val="nil"/>
          <w:between w:val="nil"/>
        </w:pBdr>
        <w:spacing w:line="259" w:lineRule="auto"/>
        <w:ind w:left="432" w:right="1296"/>
        <w:jc w:val="both"/>
        <w:rPr>
          <w:rFonts w:eastAsia="Calibri"/>
          <w:color w:val="000000"/>
          <w:sz w:val="22"/>
          <w:szCs w:val="22"/>
          <w:lang w:val="en-GB"/>
        </w:rPr>
      </w:pPr>
    </w:p>
    <w:p w14:paraId="16959F41" w14:textId="329CE43D" w:rsidR="00EE66D8" w:rsidRPr="007A5C5F" w:rsidRDefault="00EE66D8" w:rsidP="007C3C24">
      <w:pPr>
        <w:pStyle w:val="ListParagraph"/>
        <w:numPr>
          <w:ilvl w:val="0"/>
          <w:numId w:val="49"/>
        </w:numPr>
        <w:pBdr>
          <w:top w:val="nil"/>
          <w:left w:val="nil"/>
          <w:bottom w:val="nil"/>
          <w:right w:val="nil"/>
          <w:between w:val="nil"/>
        </w:pBdr>
        <w:spacing w:line="259" w:lineRule="auto"/>
        <w:jc w:val="both"/>
        <w:rPr>
          <w:sz w:val="22"/>
          <w:szCs w:val="22"/>
          <w:lang w:val="en-GB"/>
        </w:rPr>
      </w:pPr>
      <w:r w:rsidRPr="007A5C5F">
        <w:rPr>
          <w:b/>
          <w:bCs/>
          <w:sz w:val="22"/>
          <w:szCs w:val="22"/>
          <w:lang w:val="en-GB"/>
        </w:rPr>
        <w:t>Modalities of Implementation.</w:t>
      </w:r>
      <w:r w:rsidRPr="007A5C5F">
        <w:rPr>
          <w:sz w:val="22"/>
          <w:szCs w:val="22"/>
          <w:lang w:val="en-GB"/>
        </w:rPr>
        <w:t xml:space="preserve"> In response to the challenges posed by economic instability and a government-imposed hiring freeze, the project adapted its</w:t>
      </w:r>
      <w:r w:rsidRPr="007A5C5F">
        <w:rPr>
          <w:rFonts w:eastAsia="Calibri"/>
          <w:color w:val="000000"/>
          <w:sz w:val="22"/>
          <w:szCs w:val="22"/>
          <w:lang w:val="en-GB"/>
        </w:rPr>
        <w:t xml:space="preserve"> implementation modalities to maintain momentum and meet emerging needs.</w:t>
      </w:r>
    </w:p>
    <w:p w14:paraId="050B4301" w14:textId="03B52D86" w:rsidR="00EE66D8" w:rsidRPr="007A5C5F" w:rsidRDefault="00EE66D8" w:rsidP="007C3C24">
      <w:pPr>
        <w:pStyle w:val="ListParagraph"/>
        <w:numPr>
          <w:ilvl w:val="0"/>
          <w:numId w:val="68"/>
        </w:numPr>
        <w:pBdr>
          <w:top w:val="nil"/>
          <w:left w:val="nil"/>
          <w:bottom w:val="nil"/>
          <w:right w:val="nil"/>
          <w:between w:val="nil"/>
        </w:pBdr>
        <w:spacing w:line="259" w:lineRule="auto"/>
        <w:jc w:val="both"/>
        <w:rPr>
          <w:rFonts w:eastAsia="Calibri"/>
          <w:color w:val="000000"/>
          <w:sz w:val="22"/>
          <w:szCs w:val="22"/>
          <w:lang w:val="en-GB"/>
        </w:rPr>
      </w:pPr>
      <w:r w:rsidRPr="007A5C5F">
        <w:rPr>
          <w:rFonts w:eastAsia="Calibri"/>
          <w:b/>
          <w:bCs/>
          <w:color w:val="000000"/>
          <w:sz w:val="22"/>
          <w:szCs w:val="22"/>
          <w:lang w:val="en-GB"/>
        </w:rPr>
        <w:t>Addressing Staff Shortages:</w:t>
      </w:r>
      <w:r w:rsidRPr="007A5C5F">
        <w:rPr>
          <w:rFonts w:eastAsia="Calibri"/>
          <w:color w:val="000000"/>
          <w:sz w:val="22"/>
          <w:szCs w:val="22"/>
          <w:lang w:val="en-GB"/>
        </w:rPr>
        <w:t xml:space="preserve"> The ban on recruitment within the justice sector created significant operational challenges for state institutions. To mitigate this, the project temporarily supported the recruitment of critical expertise requested by state partners. This approach enabled institutions to fill immediate gaps and sustain service delivery. </w:t>
      </w:r>
      <w:r w:rsidRPr="007A5C5F">
        <w:rPr>
          <w:rFonts w:eastAsia="Calibri"/>
          <w:b/>
          <w:bCs/>
          <w:color w:val="000000"/>
          <w:sz w:val="22"/>
          <w:szCs w:val="22"/>
          <w:lang w:val="en-GB"/>
        </w:rPr>
        <w:t>However, the scope and temporal limitations of these recruitments were not clearly defined</w:t>
      </w:r>
      <w:r w:rsidR="00C52F63" w:rsidRPr="007A5C5F">
        <w:rPr>
          <w:rFonts w:eastAsia="Calibri"/>
          <w:b/>
          <w:bCs/>
          <w:color w:val="000000"/>
          <w:sz w:val="22"/>
          <w:szCs w:val="22"/>
          <w:lang w:val="en-GB"/>
        </w:rPr>
        <w:t xml:space="preserve"> between the partners</w:t>
      </w:r>
      <w:r w:rsidRPr="007A5C5F">
        <w:rPr>
          <w:rFonts w:eastAsia="Calibri"/>
          <w:b/>
          <w:bCs/>
          <w:color w:val="000000"/>
          <w:sz w:val="22"/>
          <w:szCs w:val="22"/>
          <w:lang w:val="en-GB"/>
        </w:rPr>
        <w:t>, raising concerns about their long-term viability and potential dependencies.</w:t>
      </w:r>
      <w:r w:rsidR="0087048E" w:rsidRPr="007A5C5F">
        <w:rPr>
          <w:rFonts w:eastAsia="Calibri"/>
          <w:color w:val="000000"/>
          <w:sz w:val="22"/>
          <w:szCs w:val="22"/>
          <w:lang w:val="en-GB"/>
        </w:rPr>
        <w:t xml:space="preserve"> Following the Result-Oriented Monitoring mission commissioned by the EU Delegation, these modalities were discontinued.</w:t>
      </w:r>
    </w:p>
    <w:p w14:paraId="1C162E4B" w14:textId="77777777" w:rsidR="00EE66D8" w:rsidRPr="007A5C5F" w:rsidRDefault="00EE66D8" w:rsidP="007C3C24">
      <w:pPr>
        <w:pStyle w:val="ListParagraph"/>
        <w:numPr>
          <w:ilvl w:val="0"/>
          <w:numId w:val="68"/>
        </w:numPr>
        <w:pBdr>
          <w:top w:val="nil"/>
          <w:left w:val="nil"/>
          <w:bottom w:val="nil"/>
          <w:right w:val="nil"/>
          <w:between w:val="nil"/>
        </w:pBdr>
        <w:spacing w:line="259" w:lineRule="auto"/>
        <w:jc w:val="both"/>
        <w:rPr>
          <w:rFonts w:eastAsia="Calibri"/>
          <w:color w:val="000000"/>
          <w:sz w:val="22"/>
          <w:szCs w:val="22"/>
          <w:lang w:val="en-GB"/>
        </w:rPr>
      </w:pPr>
      <w:r w:rsidRPr="007A5C5F">
        <w:rPr>
          <w:rFonts w:eastAsia="Calibri"/>
          <w:b/>
          <w:bCs/>
          <w:color w:val="000000"/>
          <w:sz w:val="22"/>
          <w:szCs w:val="22"/>
          <w:lang w:val="en-GB"/>
        </w:rPr>
        <w:t>Resource Optimization:</w:t>
      </w:r>
      <w:r w:rsidRPr="007A5C5F">
        <w:rPr>
          <w:rFonts w:eastAsia="Calibri"/>
          <w:color w:val="000000"/>
          <w:sz w:val="22"/>
          <w:szCs w:val="22"/>
          <w:lang w:val="en-GB"/>
        </w:rPr>
        <w:t xml:space="preserve"> The project prioritized efficient use of limited resources by coordinating activities and avoiding duplication. For example, legal aid desks and clinics were integrated into existing institutional structures, minimizing additional costs while maximizing impact.</w:t>
      </w:r>
    </w:p>
    <w:p w14:paraId="7073F03C" w14:textId="251D3771" w:rsidR="00EB4AC9" w:rsidRPr="007A5C5F" w:rsidRDefault="00EE66D8" w:rsidP="007C3C24">
      <w:pPr>
        <w:pStyle w:val="ListParagraph"/>
        <w:numPr>
          <w:ilvl w:val="0"/>
          <w:numId w:val="68"/>
        </w:numPr>
        <w:pBdr>
          <w:top w:val="nil"/>
          <w:left w:val="nil"/>
          <w:bottom w:val="nil"/>
          <w:right w:val="nil"/>
          <w:between w:val="nil"/>
        </w:pBdr>
        <w:spacing w:line="259" w:lineRule="auto"/>
        <w:jc w:val="both"/>
        <w:rPr>
          <w:rFonts w:eastAsia="Calibri"/>
          <w:color w:val="000000"/>
          <w:sz w:val="22"/>
          <w:szCs w:val="22"/>
          <w:lang w:val="en-GB"/>
        </w:rPr>
      </w:pPr>
      <w:r w:rsidRPr="007A5C5F">
        <w:rPr>
          <w:rFonts w:eastAsia="Calibri"/>
          <w:b/>
          <w:bCs/>
          <w:color w:val="000000"/>
          <w:sz w:val="22"/>
          <w:szCs w:val="22"/>
          <w:lang w:val="en-GB"/>
        </w:rPr>
        <w:t>Phased Implementation:</w:t>
      </w:r>
      <w:r w:rsidRPr="007A5C5F">
        <w:rPr>
          <w:rFonts w:eastAsia="Calibri"/>
          <w:color w:val="000000"/>
          <w:sz w:val="22"/>
          <w:szCs w:val="22"/>
          <w:lang w:val="en-GB"/>
        </w:rPr>
        <w:t xml:space="preserve"> Sub-activities under the strategic legal aid expansion were only partially completed during the reporting period due to operational and financial constraints. These </w:t>
      </w:r>
      <w:r w:rsidRPr="007A5C5F">
        <w:rPr>
          <w:rFonts w:eastAsia="Calibri"/>
          <w:color w:val="000000"/>
          <w:sz w:val="22"/>
          <w:szCs w:val="22"/>
          <w:lang w:val="en-GB"/>
        </w:rPr>
        <w:lastRenderedPageBreak/>
        <w:t>activities are expected to continue in 2024, with a focus on ensuring alignment with stakeholder needs and institutional priorities.</w:t>
      </w:r>
    </w:p>
    <w:p w14:paraId="051759CD" w14:textId="77777777" w:rsidR="00A6714C" w:rsidRPr="007A5C5F" w:rsidRDefault="00A6714C" w:rsidP="00A6714C">
      <w:pPr>
        <w:pStyle w:val="ListParagraph"/>
        <w:numPr>
          <w:ilvl w:val="0"/>
          <w:numId w:val="0"/>
        </w:numPr>
        <w:pBdr>
          <w:top w:val="nil"/>
          <w:left w:val="nil"/>
          <w:bottom w:val="nil"/>
          <w:right w:val="nil"/>
          <w:between w:val="nil"/>
        </w:pBdr>
        <w:adjustRightInd/>
        <w:spacing w:after="0" w:line="259" w:lineRule="auto"/>
        <w:ind w:left="360"/>
        <w:rPr>
          <w:rFonts w:eastAsia="Calibri"/>
          <w:color w:val="000000"/>
          <w:sz w:val="22"/>
          <w:szCs w:val="22"/>
          <w:lang w:val="en-GB"/>
        </w:rPr>
      </w:pPr>
    </w:p>
    <w:p w14:paraId="0F83F4B6" w14:textId="21EAD95B" w:rsidR="00A6714C" w:rsidRPr="007A5C5F" w:rsidRDefault="00597CD7" w:rsidP="00A6714C">
      <w:pPr>
        <w:pStyle w:val="Heading2"/>
        <w:rPr>
          <w:rFonts w:ascii="Times New Roman" w:hAnsi="Times New Roman" w:cs="Times New Roman"/>
          <w:lang w:val="en-GB"/>
        </w:rPr>
      </w:pPr>
      <w:bookmarkStart w:id="20" w:name="_Toc188348259"/>
      <w:r>
        <w:rPr>
          <w:rFonts w:ascii="Times New Roman" w:hAnsi="Times New Roman" w:cs="Times New Roman"/>
          <w:lang w:val="en-GB"/>
        </w:rPr>
        <w:t>Coherence</w:t>
      </w:r>
      <w:r w:rsidR="00A6714C" w:rsidRPr="007A5C5F">
        <w:rPr>
          <w:rFonts w:ascii="Times New Roman" w:hAnsi="Times New Roman" w:cs="Times New Roman"/>
          <w:lang w:val="en-GB"/>
        </w:rPr>
        <w:t>:</w:t>
      </w:r>
      <w:bookmarkEnd w:id="20"/>
      <w:r w:rsidR="00A6714C" w:rsidRPr="007A5C5F">
        <w:rPr>
          <w:rFonts w:ascii="Times New Roman" w:hAnsi="Times New Roman" w:cs="Times New Roman"/>
          <w:lang w:val="en-GB"/>
        </w:rPr>
        <w:t xml:space="preserve"> </w:t>
      </w:r>
    </w:p>
    <w:p w14:paraId="2F05775C" w14:textId="73BFDDF7" w:rsidR="00A33CF5" w:rsidRPr="007A5C5F" w:rsidRDefault="00A33CF5" w:rsidP="00A33CF5">
      <w:pPr>
        <w:tabs>
          <w:tab w:val="num" w:pos="1440"/>
        </w:tabs>
        <w:rPr>
          <w:lang w:val="en-GB"/>
        </w:rPr>
      </w:pPr>
      <w:r w:rsidRPr="007A5C5F">
        <w:rPr>
          <w:lang w:val="en-GB"/>
        </w:rPr>
        <w:t xml:space="preserve">EVALUATION QUESTIONS: </w:t>
      </w:r>
    </w:p>
    <w:p w14:paraId="12EDFB8A" w14:textId="3609BF87" w:rsidR="00A6714C" w:rsidRPr="00ED60BB" w:rsidRDefault="00A6714C" w:rsidP="00A33CF5">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How well does the JURE Project integrate with UNDP's SDG 16 portfolio and other justice sector interventions in Sri Lanka?</w:t>
      </w:r>
    </w:p>
    <w:p w14:paraId="4ED785F8" w14:textId="77777777" w:rsidR="00A6714C" w:rsidRPr="00ED60BB" w:rsidRDefault="00A6714C" w:rsidP="00A33CF5">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To what extent does the project harmonize with efforts by other actors, including the government and donors, without duplicating resources?</w:t>
      </w:r>
    </w:p>
    <w:p w14:paraId="5CFD865D" w14:textId="77777777" w:rsidR="005961C3" w:rsidRPr="00ED60BB" w:rsidRDefault="005961C3" w:rsidP="005961C3">
      <w:pPr>
        <w:pStyle w:val="ListParagraph"/>
        <w:numPr>
          <w:ilvl w:val="0"/>
          <w:numId w:val="0"/>
        </w:numPr>
        <w:adjustRightInd/>
        <w:snapToGrid/>
        <w:spacing w:after="0"/>
        <w:ind w:left="720"/>
        <w:rPr>
          <w:b/>
          <w:bCs/>
          <w:i/>
          <w:iCs/>
          <w:color w:val="70AD47" w:themeColor="accent6"/>
          <w:sz w:val="22"/>
          <w:szCs w:val="22"/>
          <w:lang w:val="en-GB"/>
        </w:rPr>
      </w:pPr>
    </w:p>
    <w:tbl>
      <w:tblPr>
        <w:tblStyle w:val="IESTable"/>
        <w:tblW w:w="0" w:type="auto"/>
        <w:tblInd w:w="562" w:type="dxa"/>
        <w:tblLook w:val="04A0" w:firstRow="1" w:lastRow="0" w:firstColumn="1" w:lastColumn="0" w:noHBand="0" w:noVBand="1"/>
      </w:tblPr>
      <w:tblGrid>
        <w:gridCol w:w="9018"/>
      </w:tblGrid>
      <w:tr w:rsidR="005961C3" w:rsidRPr="00ED60BB" w14:paraId="30983C3C" w14:textId="77777777" w:rsidTr="00AD0F94">
        <w:trPr>
          <w:cnfStyle w:val="100000000000" w:firstRow="1" w:lastRow="0" w:firstColumn="0" w:lastColumn="0" w:oddVBand="0" w:evenVBand="0" w:oddHBand="0" w:evenHBand="0" w:firstRowFirstColumn="0" w:firstRowLastColumn="0" w:lastRowFirstColumn="0" w:lastRowLastColumn="0"/>
        </w:trPr>
        <w:tc>
          <w:tcPr>
            <w:tcW w:w="9018" w:type="dxa"/>
          </w:tcPr>
          <w:p w14:paraId="3CEB7946" w14:textId="06A09F9D" w:rsidR="005961C3" w:rsidRPr="00ED60BB" w:rsidRDefault="005961C3" w:rsidP="005961C3">
            <w:pPr>
              <w:adjustRightInd w:val="0"/>
              <w:spacing w:after="120"/>
              <w:jc w:val="both"/>
              <w:rPr>
                <w:rFonts w:eastAsia="SimSun"/>
                <w:szCs w:val="22"/>
                <w:lang w:val="en-GB"/>
              </w:rPr>
            </w:pPr>
            <w:r w:rsidRPr="00ED60BB">
              <w:rPr>
                <w:b/>
                <w:szCs w:val="22"/>
                <w:lang w:val="en-GB"/>
              </w:rPr>
              <w:t>Rationale</w:t>
            </w:r>
            <w:r w:rsidRPr="00ED60BB">
              <w:rPr>
                <w:szCs w:val="22"/>
                <w:lang w:val="en-GB"/>
              </w:rPr>
              <w:t>: Coherence focuses on the compatibility and synergy between JURE’s interventions and other similar initiatives. It assesses how well the project’s design and strategies fit within the broader justice reform ecosystem and its alignment with other national and international justice sector projects.</w:t>
            </w:r>
          </w:p>
        </w:tc>
      </w:tr>
    </w:tbl>
    <w:p w14:paraId="743EB84F" w14:textId="77777777" w:rsidR="00A6714C" w:rsidRPr="007A5C5F" w:rsidRDefault="00A6714C" w:rsidP="00A6714C">
      <w:pPr>
        <w:pStyle w:val="ListParagraph"/>
        <w:numPr>
          <w:ilvl w:val="0"/>
          <w:numId w:val="0"/>
        </w:numPr>
        <w:pBdr>
          <w:top w:val="nil"/>
          <w:left w:val="nil"/>
          <w:bottom w:val="nil"/>
          <w:right w:val="nil"/>
          <w:between w:val="nil"/>
        </w:pBdr>
        <w:adjustRightInd/>
        <w:spacing w:after="0" w:line="259" w:lineRule="auto"/>
        <w:ind w:left="360"/>
        <w:rPr>
          <w:rFonts w:eastAsia="Calibri"/>
          <w:color w:val="000000"/>
          <w:lang w:val="en-GB"/>
        </w:rPr>
      </w:pPr>
    </w:p>
    <w:p w14:paraId="521DB1A5" w14:textId="4C8CB7A4" w:rsidR="006274C4" w:rsidRPr="007A5C5F" w:rsidRDefault="0023668B" w:rsidP="00A33CF5">
      <w:pPr>
        <w:pStyle w:val="ListParagraph"/>
        <w:numPr>
          <w:ilvl w:val="0"/>
          <w:numId w:val="49"/>
        </w:numPr>
        <w:adjustRightInd/>
        <w:snapToGrid/>
        <w:spacing w:after="0"/>
        <w:jc w:val="both"/>
        <w:rPr>
          <w:color w:val="000000" w:themeColor="text1"/>
          <w:sz w:val="22"/>
          <w:szCs w:val="22"/>
          <w:lang w:val="en-GB"/>
        </w:rPr>
      </w:pPr>
      <w:r w:rsidRPr="007A5C5F">
        <w:rPr>
          <w:color w:val="000000" w:themeColor="text1"/>
          <w:sz w:val="22"/>
          <w:szCs w:val="22"/>
          <w:lang w:val="en-GB"/>
        </w:rPr>
        <w:t xml:space="preserve">The Mid-Term Evaluation (MTE) of UNDP’s Portfolio on SDG 16 highlighted its </w:t>
      </w:r>
      <w:r w:rsidR="009E2B5C" w:rsidRPr="007A5C5F">
        <w:rPr>
          <w:color w:val="000000" w:themeColor="text1"/>
          <w:sz w:val="22"/>
          <w:szCs w:val="22"/>
          <w:lang w:val="en-GB"/>
        </w:rPr>
        <w:t>overall</w:t>
      </w:r>
      <w:r w:rsidRPr="007A5C5F">
        <w:rPr>
          <w:color w:val="000000" w:themeColor="text1"/>
          <w:sz w:val="22"/>
          <w:szCs w:val="22"/>
          <w:lang w:val="en-GB"/>
        </w:rPr>
        <w:t xml:space="preserve"> relevance in addressing Sri Lanka's governance and justice challenges, with notable achievements in parliamentary reforms, digital transformation, and promoting gender-sensitive services. However, the evaluation </w:t>
      </w:r>
      <w:r w:rsidRPr="007A5C5F">
        <w:rPr>
          <w:b/>
          <w:bCs/>
          <w:color w:val="000000" w:themeColor="text1"/>
          <w:sz w:val="22"/>
          <w:szCs w:val="22"/>
          <w:lang w:val="en-GB"/>
        </w:rPr>
        <w:t>underscored limitations</w:t>
      </w:r>
      <w:r w:rsidRPr="007A5C5F">
        <w:rPr>
          <w:color w:val="000000" w:themeColor="text1"/>
          <w:sz w:val="22"/>
          <w:szCs w:val="22"/>
          <w:lang w:val="en-GB"/>
        </w:rPr>
        <w:t xml:space="preserve"> in engaging civil society organizations, which restricted outreach to vulnerable groups and hindered the development of robust partnerships. Implementation gaps, particularly in digitalization and capacity-building, were also noted. To enhance impact and sustainability, the MTE recommended strengthening CSO partnerships, improving feedback mechanisms for greater accountability, and fostering national ownership to reduce donor dependency. These </w:t>
      </w:r>
      <w:r w:rsidRPr="007A5C5F">
        <w:rPr>
          <w:b/>
          <w:bCs/>
          <w:color w:val="000000" w:themeColor="text1"/>
          <w:sz w:val="22"/>
          <w:szCs w:val="22"/>
          <w:lang w:val="en-GB"/>
        </w:rPr>
        <w:t>recommendations were partially addressed</w:t>
      </w:r>
      <w:r w:rsidRPr="007A5C5F">
        <w:rPr>
          <w:color w:val="000000" w:themeColor="text1"/>
          <w:sz w:val="22"/>
          <w:szCs w:val="22"/>
          <w:lang w:val="en-GB"/>
        </w:rPr>
        <w:t xml:space="preserve"> during the implementation of t</w:t>
      </w:r>
      <w:r w:rsidR="0067110D" w:rsidRPr="007A5C5F">
        <w:rPr>
          <w:color w:val="000000" w:themeColor="text1"/>
          <w:sz w:val="22"/>
          <w:szCs w:val="22"/>
          <w:lang w:val="en-GB"/>
        </w:rPr>
        <w:t xml:space="preserve">he </w:t>
      </w:r>
      <w:r w:rsidR="0067110D" w:rsidRPr="007A5C5F">
        <w:rPr>
          <w:b/>
          <w:bCs/>
          <w:color w:val="000000" w:themeColor="text1"/>
          <w:sz w:val="22"/>
          <w:szCs w:val="22"/>
          <w:lang w:val="en-GB"/>
        </w:rPr>
        <w:t>JURE Programme</w:t>
      </w:r>
      <w:r w:rsidR="00597CD7">
        <w:rPr>
          <w:b/>
          <w:bCs/>
          <w:color w:val="000000" w:themeColor="text1"/>
          <w:sz w:val="22"/>
          <w:szCs w:val="22"/>
          <w:lang w:val="en-GB"/>
        </w:rPr>
        <w:t>,</w:t>
      </w:r>
      <w:r w:rsidR="0067110D" w:rsidRPr="007A5C5F">
        <w:rPr>
          <w:b/>
          <w:bCs/>
          <w:color w:val="000000" w:themeColor="text1"/>
          <w:sz w:val="22"/>
          <w:szCs w:val="22"/>
          <w:lang w:val="en-GB"/>
        </w:rPr>
        <w:t xml:space="preserve"> </w:t>
      </w:r>
      <w:r w:rsidRPr="007A5C5F">
        <w:rPr>
          <w:b/>
          <w:bCs/>
          <w:color w:val="000000" w:themeColor="text1"/>
          <w:sz w:val="22"/>
          <w:szCs w:val="22"/>
          <w:lang w:val="en-GB"/>
        </w:rPr>
        <w:t>which is</w:t>
      </w:r>
      <w:r w:rsidR="0067110D" w:rsidRPr="007A5C5F">
        <w:rPr>
          <w:b/>
          <w:bCs/>
          <w:color w:val="000000" w:themeColor="text1"/>
          <w:sz w:val="22"/>
          <w:szCs w:val="22"/>
          <w:lang w:val="en-GB"/>
        </w:rPr>
        <w:t xml:space="preserve"> a central component of </w:t>
      </w:r>
      <w:r w:rsidR="00597CD7">
        <w:rPr>
          <w:b/>
          <w:bCs/>
          <w:color w:val="000000" w:themeColor="text1"/>
          <w:sz w:val="22"/>
          <w:szCs w:val="22"/>
          <w:lang w:val="en-GB"/>
        </w:rPr>
        <w:t xml:space="preserve">the </w:t>
      </w:r>
      <w:r w:rsidR="0067110D" w:rsidRPr="007A5C5F">
        <w:rPr>
          <w:b/>
          <w:bCs/>
          <w:color w:val="000000" w:themeColor="text1"/>
          <w:sz w:val="22"/>
          <w:szCs w:val="22"/>
          <w:lang w:val="en-GB"/>
        </w:rPr>
        <w:t xml:space="preserve">Portfolio on SDG </w:t>
      </w:r>
      <w:r w:rsidRPr="007A5C5F">
        <w:rPr>
          <w:b/>
          <w:bCs/>
          <w:color w:val="000000" w:themeColor="text1"/>
          <w:sz w:val="22"/>
          <w:szCs w:val="22"/>
          <w:lang w:val="en-GB"/>
        </w:rPr>
        <w:t>16</w:t>
      </w:r>
      <w:r w:rsidRPr="007A5C5F">
        <w:rPr>
          <w:b/>
          <w:bCs/>
          <w:sz w:val="22"/>
          <w:szCs w:val="22"/>
          <w:lang w:val="en-GB"/>
        </w:rPr>
        <w:t>.</w:t>
      </w:r>
      <w:r w:rsidRPr="007A5C5F">
        <w:rPr>
          <w:sz w:val="22"/>
          <w:szCs w:val="22"/>
          <w:lang w:val="en-GB"/>
        </w:rPr>
        <w:t xml:space="preserve"> However</w:t>
      </w:r>
      <w:r w:rsidR="0067110D" w:rsidRPr="007A5C5F">
        <w:rPr>
          <w:sz w:val="22"/>
          <w:szCs w:val="22"/>
          <w:lang w:val="en-GB"/>
        </w:rPr>
        <w:t xml:space="preserve">, </w:t>
      </w:r>
      <w:r w:rsidR="0067110D" w:rsidRPr="007A5C5F">
        <w:rPr>
          <w:color w:val="000000" w:themeColor="text1"/>
          <w:sz w:val="22"/>
          <w:szCs w:val="22"/>
          <w:lang w:val="en-GB"/>
        </w:rPr>
        <w:t xml:space="preserve">launched in February 2022, when </w:t>
      </w:r>
      <w:r w:rsidR="006274C4" w:rsidRPr="007A5C5F">
        <w:rPr>
          <w:color w:val="000000" w:themeColor="text1"/>
          <w:sz w:val="22"/>
          <w:szCs w:val="22"/>
          <w:lang w:val="en-GB"/>
        </w:rPr>
        <w:t xml:space="preserve">the general country context was conducive to reforms, </w:t>
      </w:r>
      <w:r w:rsidR="006274C4" w:rsidRPr="007A5C5F">
        <w:rPr>
          <w:b/>
          <w:bCs/>
          <w:color w:val="000000" w:themeColor="text1"/>
          <w:sz w:val="22"/>
          <w:szCs w:val="22"/>
          <w:lang w:val="en-GB"/>
        </w:rPr>
        <w:t>the absence of a sectoral approach to justice sector reform by the government posed significant challenge</w:t>
      </w:r>
      <w:r w:rsidR="006274C4" w:rsidRPr="007A5C5F">
        <w:rPr>
          <w:color w:val="000000" w:themeColor="text1"/>
          <w:sz w:val="22"/>
          <w:szCs w:val="22"/>
          <w:lang w:val="en-GB"/>
        </w:rPr>
        <w:t xml:space="preserve">s to the design and planning of interventions during the initiation of the JURE phase. This gap in strategic coordination limited the effectiveness of early reform efforts. </w:t>
      </w:r>
      <w:r w:rsidRPr="007A5C5F">
        <w:rPr>
          <w:color w:val="000000" w:themeColor="text1"/>
          <w:sz w:val="22"/>
          <w:szCs w:val="22"/>
          <w:lang w:val="en-GB"/>
        </w:rPr>
        <w:t>T</w:t>
      </w:r>
      <w:r w:rsidR="006274C4" w:rsidRPr="007A5C5F">
        <w:rPr>
          <w:color w:val="000000" w:themeColor="text1"/>
          <w:sz w:val="22"/>
          <w:szCs w:val="22"/>
          <w:lang w:val="en-GB"/>
        </w:rPr>
        <w:t>he Ministry of Justice (MOJ) has since introduced an umbrella framework for justice sector reforms, encompassing a comprehensive range of initiatives with short-, medium-, and long-term goals. This framework reflects a more cohesive and structured approach to addressing systemic challenges within the justice sector</w:t>
      </w:r>
      <w:r w:rsidR="006274C4" w:rsidRPr="007A5C5F">
        <w:rPr>
          <w:rStyle w:val="FootnoteReference"/>
          <w:color w:val="000000" w:themeColor="text1"/>
          <w:sz w:val="22"/>
          <w:szCs w:val="22"/>
          <w:lang w:val="en-GB"/>
        </w:rPr>
        <w:footnoteReference w:id="50"/>
      </w:r>
      <w:r w:rsidR="006274C4" w:rsidRPr="007A5C5F">
        <w:rPr>
          <w:color w:val="000000" w:themeColor="text1"/>
          <w:sz w:val="22"/>
          <w:szCs w:val="22"/>
          <w:lang w:val="en-GB"/>
        </w:rPr>
        <w:t xml:space="preserve">. </w:t>
      </w:r>
    </w:p>
    <w:p w14:paraId="402894CE" w14:textId="6B7247CF" w:rsidR="001277A7" w:rsidRPr="007A5C5F" w:rsidRDefault="0044390F" w:rsidP="00DB1822">
      <w:pPr>
        <w:pStyle w:val="ListParagraph"/>
        <w:numPr>
          <w:ilvl w:val="0"/>
          <w:numId w:val="49"/>
        </w:numPr>
        <w:adjustRightInd/>
        <w:snapToGrid/>
        <w:spacing w:after="0"/>
        <w:jc w:val="both"/>
        <w:rPr>
          <w:color w:val="000000" w:themeColor="text1"/>
          <w:sz w:val="22"/>
          <w:szCs w:val="22"/>
          <w:lang w:val="en-GB"/>
        </w:rPr>
      </w:pPr>
      <w:r w:rsidRPr="007A5C5F">
        <w:rPr>
          <w:sz w:val="22"/>
          <w:szCs w:val="22"/>
          <w:lang w:val="en-GB"/>
        </w:rPr>
        <w:t xml:space="preserve">The Project elaborated well within the eco-system of the SDG 16 </w:t>
      </w:r>
      <w:r w:rsidR="001277A7" w:rsidRPr="007A5C5F">
        <w:rPr>
          <w:sz w:val="22"/>
          <w:szCs w:val="22"/>
          <w:lang w:val="en-GB"/>
        </w:rPr>
        <w:t>portfolio,</w:t>
      </w:r>
      <w:r w:rsidR="0023668B" w:rsidRPr="007A5C5F">
        <w:rPr>
          <w:sz w:val="22"/>
          <w:szCs w:val="22"/>
          <w:lang w:val="en-GB"/>
        </w:rPr>
        <w:t xml:space="preserve"> but </w:t>
      </w:r>
      <w:r w:rsidR="00597CD7">
        <w:rPr>
          <w:sz w:val="22"/>
          <w:szCs w:val="22"/>
          <w:lang w:val="en-GB"/>
        </w:rPr>
        <w:t xml:space="preserve">the </w:t>
      </w:r>
      <w:r w:rsidR="0023668B" w:rsidRPr="007A5C5F">
        <w:rPr>
          <w:sz w:val="22"/>
          <w:szCs w:val="22"/>
          <w:lang w:val="en-GB"/>
        </w:rPr>
        <w:t xml:space="preserve">level of </w:t>
      </w:r>
      <w:r w:rsidR="009E2B5C" w:rsidRPr="007A5C5F">
        <w:rPr>
          <w:sz w:val="22"/>
          <w:szCs w:val="22"/>
          <w:lang w:val="en-GB"/>
        </w:rPr>
        <w:t>coherence</w:t>
      </w:r>
      <w:r w:rsidR="0023668B" w:rsidRPr="007A5C5F">
        <w:rPr>
          <w:sz w:val="22"/>
          <w:szCs w:val="22"/>
          <w:lang w:val="en-GB"/>
        </w:rPr>
        <w:t xml:space="preserve"> could be leveraged to see how each of these projects contributed jointly to CPD outcomes and SDG 16. On the level of </w:t>
      </w:r>
      <w:r w:rsidR="009E2B5C" w:rsidRPr="007A5C5F">
        <w:rPr>
          <w:sz w:val="22"/>
          <w:szCs w:val="22"/>
          <w:lang w:val="en-GB"/>
        </w:rPr>
        <w:t>implementation</w:t>
      </w:r>
      <w:r w:rsidR="0023668B" w:rsidRPr="007A5C5F">
        <w:rPr>
          <w:sz w:val="22"/>
          <w:szCs w:val="22"/>
          <w:lang w:val="en-GB"/>
        </w:rPr>
        <w:t xml:space="preserve">, the project team reported that there is </w:t>
      </w:r>
      <w:r w:rsidR="00597CD7">
        <w:rPr>
          <w:sz w:val="22"/>
          <w:szCs w:val="22"/>
          <w:lang w:val="en-GB"/>
        </w:rPr>
        <w:t xml:space="preserve">a </w:t>
      </w:r>
      <w:r w:rsidR="005C163D" w:rsidRPr="007A5C5F">
        <w:rPr>
          <w:rFonts w:eastAsiaTheme="minorEastAsia"/>
          <w:sz w:val="22"/>
          <w:szCs w:val="22"/>
          <w:lang w:val="en-GB"/>
        </w:rPr>
        <w:t>collaboration between JURE and the Canada-Funded SGBV Project</w:t>
      </w:r>
      <w:r w:rsidR="0023668B" w:rsidRPr="007A5C5F">
        <w:rPr>
          <w:sz w:val="22"/>
          <w:szCs w:val="22"/>
          <w:lang w:val="en-GB"/>
        </w:rPr>
        <w:t xml:space="preserve">. For example, </w:t>
      </w:r>
      <w:r w:rsidR="005C163D" w:rsidRPr="007A5C5F">
        <w:rPr>
          <w:rFonts w:eastAsiaTheme="minorEastAsia"/>
          <w:sz w:val="22"/>
          <w:szCs w:val="22"/>
          <w:lang w:val="en-GB"/>
        </w:rPr>
        <w:t xml:space="preserve">where JURE's gender gap analysis informs </w:t>
      </w:r>
      <w:r w:rsidR="00597CD7">
        <w:rPr>
          <w:rFonts w:eastAsiaTheme="minorEastAsia"/>
          <w:sz w:val="22"/>
          <w:szCs w:val="22"/>
          <w:lang w:val="en-GB"/>
        </w:rPr>
        <w:t xml:space="preserve">the </w:t>
      </w:r>
      <w:r w:rsidR="005C163D" w:rsidRPr="007A5C5F">
        <w:rPr>
          <w:rFonts w:eastAsiaTheme="minorEastAsia"/>
          <w:sz w:val="22"/>
          <w:szCs w:val="22"/>
          <w:lang w:val="en-GB"/>
        </w:rPr>
        <w:t>capacity-building efforts</w:t>
      </w:r>
      <w:r w:rsidR="0023668B" w:rsidRPr="007A5C5F">
        <w:rPr>
          <w:sz w:val="22"/>
          <w:szCs w:val="22"/>
          <w:lang w:val="en-GB"/>
        </w:rPr>
        <w:t xml:space="preserve"> of Portfolio 16</w:t>
      </w:r>
      <w:r w:rsidR="005C163D" w:rsidRPr="007A5C5F">
        <w:rPr>
          <w:rFonts w:eastAsiaTheme="minorEastAsia"/>
          <w:sz w:val="22"/>
          <w:szCs w:val="22"/>
          <w:lang w:val="en-GB"/>
        </w:rPr>
        <w:t xml:space="preserve">, ensuring judicial training aligns with SGBV's victim-centric approach, creating a supportive environment for </w:t>
      </w:r>
      <w:r w:rsidR="00FB7353" w:rsidRPr="007A5C5F">
        <w:rPr>
          <w:sz w:val="22"/>
          <w:szCs w:val="22"/>
          <w:lang w:val="en-GB"/>
        </w:rPr>
        <w:t>survivors. Moving</w:t>
      </w:r>
      <w:r w:rsidR="005C163D" w:rsidRPr="007A5C5F">
        <w:rPr>
          <w:rFonts w:eastAsiaTheme="minorEastAsia"/>
          <w:sz w:val="22"/>
          <w:szCs w:val="22"/>
          <w:lang w:val="en-GB"/>
        </w:rPr>
        <w:t xml:space="preserve"> to justice delivery efficiency, JURE enhance</w:t>
      </w:r>
      <w:r w:rsidR="0023668B" w:rsidRPr="007A5C5F">
        <w:rPr>
          <w:sz w:val="22"/>
          <w:szCs w:val="22"/>
          <w:lang w:val="en-GB"/>
        </w:rPr>
        <w:t>d</w:t>
      </w:r>
      <w:r w:rsidR="005C163D" w:rsidRPr="007A5C5F">
        <w:rPr>
          <w:rFonts w:eastAsiaTheme="minorEastAsia"/>
          <w:sz w:val="22"/>
          <w:szCs w:val="22"/>
          <w:lang w:val="en-GB"/>
        </w:rPr>
        <w:t xml:space="preserve"> case management, while </w:t>
      </w:r>
      <w:r w:rsidR="00597CD7">
        <w:rPr>
          <w:rFonts w:eastAsiaTheme="minorEastAsia"/>
          <w:sz w:val="22"/>
          <w:szCs w:val="22"/>
          <w:lang w:val="en-GB"/>
        </w:rPr>
        <w:t xml:space="preserve">the </w:t>
      </w:r>
      <w:r w:rsidR="005C163D" w:rsidRPr="007A5C5F">
        <w:rPr>
          <w:rFonts w:eastAsiaTheme="minorEastAsia"/>
          <w:sz w:val="22"/>
          <w:szCs w:val="22"/>
          <w:lang w:val="en-GB"/>
        </w:rPr>
        <w:t>SGBV</w:t>
      </w:r>
      <w:r w:rsidR="0023668B" w:rsidRPr="007A5C5F">
        <w:rPr>
          <w:sz w:val="22"/>
          <w:szCs w:val="22"/>
          <w:lang w:val="en-GB"/>
        </w:rPr>
        <w:t xml:space="preserve"> </w:t>
      </w:r>
      <w:r w:rsidR="00C30F4F" w:rsidRPr="007A5C5F">
        <w:rPr>
          <w:sz w:val="22"/>
          <w:szCs w:val="22"/>
          <w:lang w:val="en-GB"/>
        </w:rPr>
        <w:t>Project established</w:t>
      </w:r>
      <w:r w:rsidR="005C163D" w:rsidRPr="007A5C5F">
        <w:rPr>
          <w:rFonts w:eastAsiaTheme="minorEastAsia"/>
          <w:sz w:val="22"/>
          <w:szCs w:val="22"/>
          <w:lang w:val="en-GB"/>
        </w:rPr>
        <w:t xml:space="preserve"> fast-track courts to expedite justice processes. Together, the</w:t>
      </w:r>
      <w:r w:rsidR="0023668B" w:rsidRPr="007A5C5F">
        <w:rPr>
          <w:sz w:val="22"/>
          <w:szCs w:val="22"/>
          <w:lang w:val="en-GB"/>
        </w:rPr>
        <w:t xml:space="preserve">se two </w:t>
      </w:r>
      <w:r w:rsidR="00C30F4F" w:rsidRPr="007A5C5F">
        <w:rPr>
          <w:sz w:val="22"/>
          <w:szCs w:val="22"/>
          <w:lang w:val="en-GB"/>
        </w:rPr>
        <w:t>projects promote</w:t>
      </w:r>
      <w:r w:rsidR="005C163D" w:rsidRPr="007A5C5F">
        <w:rPr>
          <w:rFonts w:eastAsiaTheme="minorEastAsia"/>
          <w:sz w:val="22"/>
          <w:szCs w:val="22"/>
          <w:lang w:val="en-GB"/>
        </w:rPr>
        <w:t xml:space="preserve"> a more effective legal framework for handling SGBV cases.  </w:t>
      </w:r>
    </w:p>
    <w:p w14:paraId="664EC8CC" w14:textId="77777777" w:rsidR="001277A7" w:rsidRPr="007A5C5F" w:rsidRDefault="001277A7" w:rsidP="001277A7">
      <w:pPr>
        <w:pStyle w:val="ListParagraph"/>
        <w:numPr>
          <w:ilvl w:val="0"/>
          <w:numId w:val="0"/>
        </w:numPr>
        <w:adjustRightInd/>
        <w:snapToGrid/>
        <w:spacing w:after="0"/>
        <w:ind w:left="360"/>
        <w:jc w:val="both"/>
        <w:rPr>
          <w:color w:val="000000" w:themeColor="text1"/>
          <w:sz w:val="22"/>
          <w:szCs w:val="22"/>
          <w:lang w:val="en-GB"/>
        </w:rPr>
      </w:pPr>
    </w:p>
    <w:p w14:paraId="4B3B4463" w14:textId="78AF557C" w:rsidR="00D65167" w:rsidRPr="007A5C5F" w:rsidRDefault="00D65167" w:rsidP="00DB1822">
      <w:pPr>
        <w:pStyle w:val="Caption"/>
        <w:rPr>
          <w:lang w:val="en-GB"/>
        </w:rPr>
      </w:pPr>
      <w:r w:rsidRPr="007A5C5F">
        <w:rPr>
          <w:lang w:val="en-GB"/>
        </w:rPr>
        <w:t xml:space="preserve">Figure </w:t>
      </w:r>
      <w:r w:rsidRPr="007A5C5F">
        <w:rPr>
          <w:lang w:val="en-GB"/>
        </w:rPr>
        <w:fldChar w:fldCharType="begin"/>
      </w:r>
      <w:r w:rsidRPr="007A5C5F">
        <w:rPr>
          <w:lang w:val="en-GB"/>
        </w:rPr>
        <w:instrText xml:space="preserve"> SEQ Figure \* ARABIC </w:instrText>
      </w:r>
      <w:r w:rsidRPr="007A5C5F">
        <w:rPr>
          <w:lang w:val="en-GB"/>
        </w:rPr>
        <w:fldChar w:fldCharType="separate"/>
      </w:r>
      <w:r w:rsidR="0095181E">
        <w:rPr>
          <w:noProof/>
          <w:lang w:val="en-GB"/>
        </w:rPr>
        <w:t>5</w:t>
      </w:r>
      <w:r w:rsidRPr="007A5C5F">
        <w:rPr>
          <w:lang w:val="en-GB"/>
        </w:rPr>
        <w:fldChar w:fldCharType="end"/>
      </w:r>
      <w:r w:rsidRPr="007A5C5F">
        <w:rPr>
          <w:lang w:val="en-GB"/>
        </w:rPr>
        <w:t xml:space="preserve"> Content of the UNDP Sri Lanka SDG 16 Portfolio (source: Mid-Term Evaluation of UNDP’s Portfolio on SDG 16- Peace, Justice and Strong Institutions. October -</w:t>
      </w:r>
      <w:r w:rsidR="009E2B5C" w:rsidRPr="007A5C5F">
        <w:rPr>
          <w:lang w:val="en-GB"/>
        </w:rPr>
        <w:t>November</w:t>
      </w:r>
      <w:r w:rsidRPr="007A5C5F">
        <w:rPr>
          <w:lang w:val="en-GB"/>
        </w:rPr>
        <w:t xml:space="preserve"> 2020)</w:t>
      </w:r>
    </w:p>
    <w:p w14:paraId="462D2147" w14:textId="70289978" w:rsidR="00D65167" w:rsidRPr="007A5C5F" w:rsidRDefault="00D65167" w:rsidP="00D65167">
      <w:pPr>
        <w:jc w:val="both"/>
        <w:rPr>
          <w:color w:val="000000" w:themeColor="text1"/>
          <w:sz w:val="22"/>
          <w:szCs w:val="22"/>
          <w:lang w:val="en-GB"/>
        </w:rPr>
      </w:pPr>
    </w:p>
    <w:p w14:paraId="7C39DBB5" w14:textId="27B02DEF" w:rsidR="00D65167" w:rsidRPr="007A5C5F" w:rsidRDefault="00D65167" w:rsidP="00D65167">
      <w:pPr>
        <w:jc w:val="both"/>
        <w:rPr>
          <w:color w:val="000000" w:themeColor="text1"/>
          <w:sz w:val="22"/>
          <w:szCs w:val="22"/>
          <w:lang w:val="en-GB"/>
        </w:rPr>
      </w:pPr>
    </w:p>
    <w:p w14:paraId="3560BEBF" w14:textId="1A39B55B" w:rsidR="006C0FEE" w:rsidRPr="007A5C5F" w:rsidRDefault="00355BD2" w:rsidP="006C0FEE">
      <w:pPr>
        <w:pStyle w:val="ListParagraph"/>
        <w:numPr>
          <w:ilvl w:val="0"/>
          <w:numId w:val="49"/>
        </w:numPr>
        <w:adjustRightInd/>
        <w:snapToGrid/>
        <w:spacing w:after="0"/>
        <w:jc w:val="both"/>
        <w:rPr>
          <w:sz w:val="22"/>
          <w:szCs w:val="22"/>
          <w:lang w:val="en-GB"/>
        </w:rPr>
      </w:pPr>
      <w:r w:rsidRPr="007A5C5F">
        <w:rPr>
          <w:b/>
          <w:bCs/>
          <w:noProof/>
          <w:sz w:val="20"/>
          <w:szCs w:val="20"/>
          <w:lang w:val="en-GB"/>
        </w:rPr>
        <w:lastRenderedPageBreak/>
        <w:drawing>
          <wp:anchor distT="0" distB="0" distL="114300" distR="114300" simplePos="0" relativeHeight="251704320" behindDoc="1" locked="0" layoutInCell="1" allowOverlap="1" wp14:anchorId="3A055110" wp14:editId="5BEE3AF3">
            <wp:simplePos x="0" y="0"/>
            <wp:positionH relativeFrom="column">
              <wp:posOffset>278765</wp:posOffset>
            </wp:positionH>
            <wp:positionV relativeFrom="paragraph">
              <wp:posOffset>217170</wp:posOffset>
            </wp:positionV>
            <wp:extent cx="3744000" cy="2505372"/>
            <wp:effectExtent l="0" t="0" r="2540" b="0"/>
            <wp:wrapTight wrapText="bothSides">
              <wp:wrapPolygon edited="0">
                <wp:start x="0" y="0"/>
                <wp:lineTo x="0" y="21463"/>
                <wp:lineTo x="21541" y="21463"/>
                <wp:lineTo x="21541" y="0"/>
                <wp:lineTo x="0" y="0"/>
              </wp:wrapPolygon>
            </wp:wrapTight>
            <wp:docPr id="1" name="Picture 1" descr="A diagram of a circular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iagram of a circular diagram&#10;&#10;Description automatically generated with medium confidence"/>
                    <pic:cNvPicPr/>
                  </pic:nvPicPr>
                  <pic:blipFill rotWithShape="1">
                    <a:blip r:embed="rId31">
                      <a:extLst>
                        <a:ext uri="{28A0092B-C50C-407E-A947-70E740481C1C}">
                          <a14:useLocalDpi xmlns:a14="http://schemas.microsoft.com/office/drawing/2010/main" val="0"/>
                        </a:ext>
                      </a:extLst>
                    </a:blip>
                    <a:srcRect r="12317"/>
                    <a:stretch/>
                  </pic:blipFill>
                  <pic:spPr bwMode="auto">
                    <a:xfrm>
                      <a:off x="0" y="0"/>
                      <a:ext cx="3744000" cy="250537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3668B" w:rsidRPr="007A5C5F">
        <w:rPr>
          <w:sz w:val="22"/>
          <w:szCs w:val="22"/>
          <w:lang w:val="en-GB"/>
        </w:rPr>
        <w:t xml:space="preserve">Other offered example by the </w:t>
      </w:r>
      <w:r w:rsidR="00C30F4F" w:rsidRPr="007A5C5F">
        <w:rPr>
          <w:sz w:val="22"/>
          <w:szCs w:val="22"/>
          <w:lang w:val="en-GB"/>
        </w:rPr>
        <w:t xml:space="preserve">JURE project team was </w:t>
      </w:r>
      <w:r w:rsidR="005C163D" w:rsidRPr="007A5C5F">
        <w:rPr>
          <w:rFonts w:eastAsiaTheme="minorEastAsia"/>
          <w:sz w:val="22"/>
          <w:szCs w:val="22"/>
          <w:lang w:val="en-GB"/>
        </w:rPr>
        <w:t xml:space="preserve">Infrastructure assessments </w:t>
      </w:r>
      <w:r w:rsidR="00C30F4F" w:rsidRPr="007A5C5F">
        <w:rPr>
          <w:sz w:val="22"/>
          <w:szCs w:val="22"/>
          <w:lang w:val="en-GB"/>
        </w:rPr>
        <w:t xml:space="preserve">conducted within JURE </w:t>
      </w:r>
      <w:r w:rsidR="005C163D" w:rsidRPr="007A5C5F">
        <w:rPr>
          <w:rFonts w:eastAsiaTheme="minorEastAsia"/>
          <w:sz w:val="22"/>
          <w:szCs w:val="22"/>
          <w:lang w:val="en-GB"/>
        </w:rPr>
        <w:t xml:space="preserve">in SGBV's service mapping, ensuring that resources are allocated effectively in the districts.  With shelter services, JURE evaluates the quality of shelters, and SGBV is committed to improving economic stability and psychosocial support for </w:t>
      </w:r>
      <w:r w:rsidR="005C163D" w:rsidRPr="007A5C5F">
        <w:rPr>
          <w:sz w:val="22"/>
          <w:szCs w:val="22"/>
          <w:lang w:val="en-GB"/>
        </w:rPr>
        <w:t>survivors’</w:t>
      </w:r>
      <w:r w:rsidR="005C163D" w:rsidRPr="007A5C5F">
        <w:rPr>
          <w:rFonts w:eastAsiaTheme="minorEastAsia"/>
          <w:sz w:val="22"/>
          <w:szCs w:val="22"/>
          <w:lang w:val="en-GB"/>
        </w:rPr>
        <w:t xml:space="preserve"> post-shelter.</w:t>
      </w:r>
      <w:r w:rsidR="00C30F4F" w:rsidRPr="007A5C5F">
        <w:rPr>
          <w:sz w:val="22"/>
          <w:szCs w:val="22"/>
          <w:lang w:val="en-GB"/>
        </w:rPr>
        <w:t xml:space="preserve"> </w:t>
      </w:r>
      <w:r w:rsidR="005C163D" w:rsidRPr="007A5C5F">
        <w:rPr>
          <w:rFonts w:eastAsiaTheme="minorEastAsia"/>
          <w:sz w:val="22"/>
          <w:szCs w:val="22"/>
          <w:lang w:val="en-GB"/>
        </w:rPr>
        <w:t>On victim protection, JURE develops guidelines</w:t>
      </w:r>
      <w:r w:rsidR="00597CD7">
        <w:rPr>
          <w:rFonts w:eastAsiaTheme="minorEastAsia"/>
          <w:sz w:val="22"/>
          <w:szCs w:val="22"/>
          <w:lang w:val="en-GB"/>
        </w:rPr>
        <w:t>,</w:t>
      </w:r>
      <w:r w:rsidR="005C163D" w:rsidRPr="007A5C5F">
        <w:rPr>
          <w:rFonts w:eastAsiaTheme="minorEastAsia"/>
          <w:sz w:val="22"/>
          <w:szCs w:val="22"/>
          <w:lang w:val="en-GB"/>
        </w:rPr>
        <w:t xml:space="preserve"> and SGBV implements Standard Operating Procedures to strengthen support </w:t>
      </w:r>
      <w:r w:rsidR="005C163D" w:rsidRPr="007A5C5F">
        <w:rPr>
          <w:sz w:val="22"/>
          <w:szCs w:val="22"/>
          <w:lang w:val="en-GB"/>
        </w:rPr>
        <w:t>systems and promote legal reforms crucial for survivor empowerment.</w:t>
      </w:r>
      <w:r w:rsidR="00C30F4F" w:rsidRPr="007A5C5F">
        <w:rPr>
          <w:sz w:val="22"/>
          <w:szCs w:val="22"/>
          <w:lang w:val="en-GB"/>
        </w:rPr>
        <w:t xml:space="preserve"> </w:t>
      </w:r>
      <w:r w:rsidR="005C163D" w:rsidRPr="007A5C5F">
        <w:rPr>
          <w:sz w:val="22"/>
          <w:szCs w:val="22"/>
          <w:lang w:val="en-GB"/>
        </w:rPr>
        <w:t>Lastly, knowledge sharing through regional exchanges ensures JURE integrates international best practices, enhancing overall project efficacy. Now, let's explore in-depth how these synergies function and their impact.</w:t>
      </w:r>
    </w:p>
    <w:p w14:paraId="743EBD4C" w14:textId="0619B90B" w:rsidR="006C0FEE" w:rsidRPr="007A5C5F" w:rsidRDefault="006C0FEE" w:rsidP="00AD0F94">
      <w:pPr>
        <w:pStyle w:val="ListParagraph"/>
        <w:numPr>
          <w:ilvl w:val="0"/>
          <w:numId w:val="49"/>
        </w:numPr>
        <w:adjustRightInd/>
        <w:snapToGrid/>
        <w:spacing w:after="0"/>
        <w:jc w:val="both"/>
        <w:rPr>
          <w:rFonts w:eastAsiaTheme="minorEastAsia"/>
          <w:b/>
          <w:bCs/>
          <w:sz w:val="22"/>
          <w:szCs w:val="22"/>
          <w:lang w:val="en-GB"/>
        </w:rPr>
      </w:pPr>
      <w:r w:rsidRPr="007A5C5F">
        <w:rPr>
          <w:rFonts w:eastAsiaTheme="minorEastAsia"/>
          <w:b/>
          <w:bCs/>
          <w:sz w:val="22"/>
          <w:szCs w:val="22"/>
          <w:lang w:val="en-GB"/>
        </w:rPr>
        <w:t xml:space="preserve">Finding </w:t>
      </w:r>
      <w:r w:rsidR="00355BD2" w:rsidRPr="007A5C5F">
        <w:rPr>
          <w:rFonts w:eastAsiaTheme="minorEastAsia"/>
          <w:b/>
          <w:bCs/>
          <w:sz w:val="22"/>
          <w:szCs w:val="22"/>
          <w:lang w:val="en-GB"/>
        </w:rPr>
        <w:t>4</w:t>
      </w:r>
      <w:r w:rsidRPr="007A5C5F">
        <w:rPr>
          <w:rFonts w:eastAsiaTheme="minorEastAsia"/>
          <w:b/>
          <w:bCs/>
          <w:sz w:val="22"/>
          <w:szCs w:val="22"/>
          <w:lang w:val="en-GB"/>
        </w:rPr>
        <w:t xml:space="preserve">. The project demonstrated a degree of internal coherence in its implementation; however, there is significant potential to strengthen this coherence by adopting UNDP’s integrated approach, which emphasizes leveraging synergies across thematic areas to achieve sustainable development outcomes. </w:t>
      </w:r>
    </w:p>
    <w:p w14:paraId="354B1B74" w14:textId="278CB5ED" w:rsidR="006C0FEE" w:rsidRPr="007A5C5F" w:rsidRDefault="006C0FEE" w:rsidP="006C0FEE">
      <w:pPr>
        <w:pStyle w:val="ListParagraph"/>
        <w:numPr>
          <w:ilvl w:val="0"/>
          <w:numId w:val="49"/>
        </w:numPr>
        <w:adjustRightInd/>
        <w:snapToGrid/>
        <w:spacing w:after="0"/>
        <w:jc w:val="both"/>
        <w:rPr>
          <w:rFonts w:eastAsiaTheme="minorEastAsia"/>
          <w:sz w:val="22"/>
          <w:szCs w:val="22"/>
          <w:lang w:val="en-GB"/>
        </w:rPr>
      </w:pPr>
      <w:r w:rsidRPr="007A5C5F">
        <w:rPr>
          <w:rFonts w:eastAsiaTheme="minorEastAsia"/>
          <w:sz w:val="22"/>
          <w:szCs w:val="22"/>
          <w:lang w:val="en-GB"/>
        </w:rPr>
        <w:t xml:space="preserve">For instance, JURE’s Outcome 3 </w:t>
      </w:r>
      <w:r w:rsidR="009E2B5C" w:rsidRPr="007A5C5F">
        <w:rPr>
          <w:rFonts w:eastAsiaTheme="minorEastAsia"/>
          <w:sz w:val="22"/>
          <w:szCs w:val="22"/>
          <w:lang w:val="en-GB"/>
        </w:rPr>
        <w:t>initiatives</w:t>
      </w:r>
      <w:r w:rsidRPr="007A5C5F">
        <w:rPr>
          <w:rFonts w:eastAsiaTheme="minorEastAsia"/>
          <w:sz w:val="22"/>
          <w:szCs w:val="22"/>
          <w:lang w:val="en-GB"/>
        </w:rPr>
        <w:t xml:space="preserve"> supporting mothers </w:t>
      </w:r>
      <w:r w:rsidR="00597CD7">
        <w:rPr>
          <w:rFonts w:eastAsiaTheme="minorEastAsia"/>
          <w:sz w:val="22"/>
          <w:szCs w:val="22"/>
          <w:lang w:val="en-GB"/>
        </w:rPr>
        <w:t>in</w:t>
      </w:r>
      <w:r w:rsidRPr="007A5C5F">
        <w:rPr>
          <w:rFonts w:eastAsiaTheme="minorEastAsia"/>
          <w:sz w:val="22"/>
          <w:szCs w:val="22"/>
          <w:lang w:val="en-GB"/>
        </w:rPr>
        <w:t xml:space="preserve"> </w:t>
      </w:r>
      <w:r w:rsidR="00597CD7">
        <w:rPr>
          <w:rFonts w:eastAsiaTheme="minorEastAsia"/>
          <w:sz w:val="22"/>
          <w:szCs w:val="22"/>
          <w:lang w:val="en-GB"/>
        </w:rPr>
        <w:t>establishing</w:t>
      </w:r>
      <w:r w:rsidRPr="007A5C5F">
        <w:rPr>
          <w:rFonts w:eastAsiaTheme="minorEastAsia"/>
          <w:sz w:val="22"/>
          <w:szCs w:val="22"/>
          <w:lang w:val="en-GB"/>
        </w:rPr>
        <w:t xml:space="preserve"> small cooking businesses aimed at providing for their children and preventing reliance on state care could be more effectively linked to the UNDP Outcome on Economic Empowerment. This alignment would enhance their entrepreneurial capacities and support sustained small-business development, contributing to broader economic resilience and social well-being.</w:t>
      </w:r>
    </w:p>
    <w:p w14:paraId="3B7732EE" w14:textId="4555C3BC" w:rsidR="006C0FEE" w:rsidRPr="007A5C5F" w:rsidRDefault="006C0FEE" w:rsidP="006C0FEE">
      <w:pPr>
        <w:pStyle w:val="ListParagraph"/>
        <w:numPr>
          <w:ilvl w:val="0"/>
          <w:numId w:val="49"/>
        </w:numPr>
        <w:adjustRightInd/>
        <w:snapToGrid/>
        <w:spacing w:after="0"/>
        <w:jc w:val="both"/>
        <w:rPr>
          <w:rFonts w:eastAsiaTheme="minorEastAsia"/>
          <w:sz w:val="22"/>
          <w:szCs w:val="22"/>
          <w:lang w:val="en-GB"/>
        </w:rPr>
      </w:pPr>
      <w:r w:rsidRPr="007A5C5F">
        <w:rPr>
          <w:rFonts w:eastAsiaTheme="minorEastAsia"/>
          <w:sz w:val="22"/>
          <w:szCs w:val="22"/>
          <w:lang w:val="en-GB"/>
        </w:rPr>
        <w:t>Moreover, the JURE’s Outcome 1 results achieved in raising awareness of environmental justice and developing a master’s programme with the University of Colombo’s Law Faculty could be better integrated with the UNDP Outcome on Environment. By embedding these efforts within a cohesive strategy that connects legal education, community awareness, and environmental sustainability, the project could contribute to a more comprehensive and impactful environmental agenda. Strengthening these linkages would not only maximize the project’s contributions to UNDP’s strategic priorities but also reinforce the value of its integrated approach in addressing complex, interrelated development challenges.</w:t>
      </w:r>
    </w:p>
    <w:p w14:paraId="6ADEA8B7" w14:textId="59FBB693" w:rsidR="0087048E" w:rsidRPr="007A5C5F" w:rsidRDefault="00140EC8" w:rsidP="005C163D">
      <w:pPr>
        <w:pStyle w:val="ListParagraph"/>
        <w:numPr>
          <w:ilvl w:val="0"/>
          <w:numId w:val="49"/>
        </w:numPr>
        <w:adjustRightInd/>
        <w:snapToGrid/>
        <w:spacing w:after="0"/>
        <w:jc w:val="both"/>
        <w:rPr>
          <w:sz w:val="22"/>
          <w:szCs w:val="22"/>
          <w:lang w:val="en-GB"/>
        </w:rPr>
      </w:pPr>
      <w:r w:rsidRPr="007A5C5F">
        <w:rPr>
          <w:b/>
          <w:bCs/>
          <w:sz w:val="22"/>
          <w:szCs w:val="22"/>
          <w:lang w:val="en-GB"/>
        </w:rPr>
        <w:t>Finding</w:t>
      </w:r>
      <w:r w:rsidR="006C0FEE" w:rsidRPr="007A5C5F">
        <w:rPr>
          <w:b/>
          <w:bCs/>
          <w:sz w:val="22"/>
          <w:szCs w:val="22"/>
          <w:lang w:val="en-GB"/>
        </w:rPr>
        <w:t xml:space="preserve"> </w:t>
      </w:r>
      <w:r w:rsidR="00355BD2" w:rsidRPr="007A5C5F">
        <w:rPr>
          <w:b/>
          <w:bCs/>
          <w:sz w:val="22"/>
          <w:szCs w:val="22"/>
          <w:lang w:val="en-GB"/>
        </w:rPr>
        <w:t>5</w:t>
      </w:r>
      <w:r w:rsidR="006C0FEE" w:rsidRPr="007A5C5F">
        <w:rPr>
          <w:b/>
          <w:bCs/>
          <w:sz w:val="22"/>
          <w:szCs w:val="22"/>
          <w:lang w:val="en-GB"/>
        </w:rPr>
        <w:t xml:space="preserve">. </w:t>
      </w:r>
      <w:r w:rsidRPr="007A5C5F">
        <w:rPr>
          <w:b/>
          <w:bCs/>
          <w:sz w:val="22"/>
          <w:szCs w:val="22"/>
          <w:lang w:val="en-GB"/>
        </w:rPr>
        <w:t>The JURE Project operates in a highly crowded development environment where multiple donors</w:t>
      </w:r>
      <w:r w:rsidR="007D2C89">
        <w:rPr>
          <w:b/>
          <w:bCs/>
          <w:sz w:val="22"/>
          <w:szCs w:val="22"/>
          <w:lang w:val="en-GB"/>
        </w:rPr>
        <w:t xml:space="preserve"> and international organisations</w:t>
      </w:r>
      <w:r w:rsidRPr="007A5C5F">
        <w:rPr>
          <w:b/>
          <w:bCs/>
          <w:sz w:val="22"/>
          <w:szCs w:val="22"/>
          <w:lang w:val="en-GB"/>
        </w:rPr>
        <w:t>, such as USAID, EU, KOICA, JICA, and UNODC, support overlapping themes, including virtual trials, forensic analysis capacity building, anti-corruption measures, commercial dispute resolution, and the modernization and strengthening of justice sector mechanisms. These efforts collectively focus on enhancing access to justice and improving the efficiency of legal and judicial processes. The crowded donor landscape presents opportunities for synergy and collaboration but also risks duplication of efforts if coordination mechanisms are not effectively utilized.</w:t>
      </w:r>
    </w:p>
    <w:p w14:paraId="0E924927" w14:textId="2089B2F2" w:rsidR="006C0FEE" w:rsidRPr="007A5C5F" w:rsidRDefault="00702666" w:rsidP="006C0FEE">
      <w:pPr>
        <w:pStyle w:val="ListParagraph"/>
        <w:numPr>
          <w:ilvl w:val="0"/>
          <w:numId w:val="49"/>
        </w:numPr>
        <w:adjustRightInd/>
        <w:snapToGrid/>
        <w:spacing w:after="0"/>
        <w:jc w:val="both"/>
        <w:rPr>
          <w:sz w:val="22"/>
          <w:szCs w:val="22"/>
          <w:lang w:val="en-GB"/>
        </w:rPr>
      </w:pPr>
      <w:r w:rsidRPr="007A5C5F">
        <w:rPr>
          <w:rFonts w:eastAsiaTheme="minorEastAsia"/>
          <w:sz w:val="22"/>
          <w:szCs w:val="22"/>
          <w:lang w:val="en-GB"/>
        </w:rPr>
        <w:t xml:space="preserve">The level of external coherence was challenging to assess during this mid-term evaluation due to the limited time the evaluation team spent in the country. </w:t>
      </w:r>
      <w:r w:rsidR="006C0FEE" w:rsidRPr="007A5C5F">
        <w:rPr>
          <w:sz w:val="22"/>
          <w:szCs w:val="22"/>
          <w:lang w:val="en-GB"/>
        </w:rPr>
        <w:t>JURE</w:t>
      </w:r>
      <w:r w:rsidR="00597CD7">
        <w:rPr>
          <w:sz w:val="22"/>
          <w:szCs w:val="22"/>
          <w:lang w:val="en-GB"/>
        </w:rPr>
        <w:t>,</w:t>
      </w:r>
      <w:r w:rsidR="006C0FEE" w:rsidRPr="007A5C5F">
        <w:rPr>
          <w:sz w:val="22"/>
          <w:szCs w:val="22"/>
          <w:lang w:val="en-GB"/>
        </w:rPr>
        <w:t xml:space="preserve"> to date</w:t>
      </w:r>
      <w:r w:rsidR="00597CD7">
        <w:rPr>
          <w:sz w:val="22"/>
          <w:szCs w:val="22"/>
          <w:lang w:val="en-GB"/>
        </w:rPr>
        <w:t>, is</w:t>
      </w:r>
      <w:r w:rsidR="006C0FEE" w:rsidRPr="007A5C5F">
        <w:rPr>
          <w:sz w:val="22"/>
          <w:szCs w:val="22"/>
          <w:lang w:val="en-GB"/>
        </w:rPr>
        <w:t xml:space="preserve"> the largest and flagship EU-funded project in the country. Due to its complex and mult</w:t>
      </w:r>
      <w:r w:rsidR="009E2B5C" w:rsidRPr="007A5C5F">
        <w:rPr>
          <w:sz w:val="22"/>
          <w:szCs w:val="22"/>
          <w:lang w:val="en-GB"/>
        </w:rPr>
        <w:t>i</w:t>
      </w:r>
      <w:r w:rsidR="006C0FEE" w:rsidRPr="007A5C5F">
        <w:rPr>
          <w:sz w:val="22"/>
          <w:szCs w:val="22"/>
          <w:lang w:val="en-GB"/>
        </w:rPr>
        <w:t xml:space="preserve">-faceted design and </w:t>
      </w:r>
      <w:r w:rsidR="009E2B5C" w:rsidRPr="007A5C5F">
        <w:rPr>
          <w:sz w:val="22"/>
          <w:szCs w:val="22"/>
          <w:lang w:val="en-GB"/>
        </w:rPr>
        <w:t>cascaded</w:t>
      </w:r>
      <w:r w:rsidR="006C0FEE" w:rsidRPr="007A5C5F">
        <w:rPr>
          <w:sz w:val="22"/>
          <w:szCs w:val="22"/>
          <w:lang w:val="en-GB"/>
        </w:rPr>
        <w:t xml:space="preserve"> </w:t>
      </w:r>
      <w:r w:rsidR="009E2B5C" w:rsidRPr="007A5C5F">
        <w:rPr>
          <w:sz w:val="22"/>
          <w:szCs w:val="22"/>
          <w:lang w:val="en-GB"/>
        </w:rPr>
        <w:t>interventions</w:t>
      </w:r>
      <w:r w:rsidR="006C0FEE" w:rsidRPr="007A5C5F">
        <w:rPr>
          <w:sz w:val="22"/>
          <w:szCs w:val="22"/>
          <w:lang w:val="en-GB"/>
        </w:rPr>
        <w:t xml:space="preserve"> across several areas of justice services, it is hard to see how these projects </w:t>
      </w:r>
      <w:r w:rsidR="007A5C5F" w:rsidRPr="007A5C5F">
        <w:rPr>
          <w:sz w:val="22"/>
          <w:szCs w:val="22"/>
          <w:lang w:val="en-GB"/>
        </w:rPr>
        <w:t>avoid</w:t>
      </w:r>
      <w:r w:rsidR="006C0FEE" w:rsidRPr="007A5C5F">
        <w:rPr>
          <w:sz w:val="22"/>
          <w:szCs w:val="22"/>
          <w:lang w:val="en-GB"/>
        </w:rPr>
        <w:t xml:space="preserve"> </w:t>
      </w:r>
      <w:r w:rsidR="009E2B5C" w:rsidRPr="007A5C5F">
        <w:rPr>
          <w:sz w:val="22"/>
          <w:szCs w:val="22"/>
          <w:lang w:val="en-GB"/>
        </w:rPr>
        <w:t>duplication</w:t>
      </w:r>
      <w:r w:rsidR="006C0FEE" w:rsidRPr="007A5C5F">
        <w:rPr>
          <w:sz w:val="22"/>
          <w:szCs w:val="22"/>
          <w:lang w:val="en-GB"/>
        </w:rPr>
        <w:t xml:space="preserve"> outside of the UN family. </w:t>
      </w:r>
    </w:p>
    <w:p w14:paraId="2601F227" w14:textId="76B5836A" w:rsidR="00CD60E5" w:rsidRPr="007A5C5F" w:rsidRDefault="006C0FEE" w:rsidP="006C0FEE">
      <w:pPr>
        <w:pStyle w:val="ListParagraph"/>
        <w:numPr>
          <w:ilvl w:val="0"/>
          <w:numId w:val="49"/>
        </w:numPr>
        <w:adjustRightInd/>
        <w:snapToGrid/>
        <w:spacing w:after="0"/>
        <w:jc w:val="both"/>
        <w:rPr>
          <w:rFonts w:eastAsiaTheme="minorEastAsia"/>
          <w:sz w:val="22"/>
          <w:szCs w:val="22"/>
          <w:lang w:val="en-GB"/>
        </w:rPr>
      </w:pPr>
      <w:r w:rsidRPr="007A5C5F">
        <w:rPr>
          <w:rFonts w:eastAsiaTheme="minorEastAsia"/>
          <w:sz w:val="22"/>
          <w:szCs w:val="22"/>
          <w:lang w:val="en-GB"/>
        </w:rPr>
        <w:t>A</w:t>
      </w:r>
      <w:r w:rsidR="00702666" w:rsidRPr="007A5C5F">
        <w:rPr>
          <w:rFonts w:eastAsiaTheme="minorEastAsia"/>
          <w:sz w:val="22"/>
          <w:szCs w:val="22"/>
          <w:lang w:val="en-GB"/>
        </w:rPr>
        <w:t xml:space="preserve"> desk review of relevant documents and interviews with national stakeholders indicated that justice sector needs are well within the scope of donor priorities, with numerous projects currently being implemented in the country. </w:t>
      </w:r>
      <w:r w:rsidR="00AB3DFD" w:rsidRPr="007A5C5F">
        <w:rPr>
          <w:rFonts w:eastAsiaTheme="minorEastAsia"/>
          <w:sz w:val="22"/>
          <w:szCs w:val="22"/>
          <w:lang w:val="en-GB"/>
        </w:rPr>
        <w:t xml:space="preserve">Outside the UNDP and UN country team, JURE operates in </w:t>
      </w:r>
      <w:r w:rsidR="00597CD7">
        <w:rPr>
          <w:rFonts w:eastAsiaTheme="minorEastAsia"/>
          <w:sz w:val="22"/>
          <w:szCs w:val="22"/>
          <w:lang w:val="en-GB"/>
        </w:rPr>
        <w:t xml:space="preserve">a </w:t>
      </w:r>
      <w:r w:rsidR="00AB3DFD" w:rsidRPr="007A5C5F">
        <w:rPr>
          <w:rFonts w:eastAsiaTheme="minorEastAsia"/>
          <w:sz w:val="22"/>
          <w:szCs w:val="22"/>
          <w:lang w:val="en-GB"/>
        </w:rPr>
        <w:t xml:space="preserve">diverse portfolio of internationally funded projects in Sri Lanka, focusing on justice sector reforms, social </w:t>
      </w:r>
      <w:r w:rsidR="00AB3DFD" w:rsidRPr="007A5C5F">
        <w:rPr>
          <w:rFonts w:eastAsiaTheme="minorEastAsia"/>
          <w:sz w:val="22"/>
          <w:szCs w:val="22"/>
          <w:lang w:val="en-GB"/>
        </w:rPr>
        <w:lastRenderedPageBreak/>
        <w:t xml:space="preserve">cohesion, technical capacity building, and infrastructure development. Prominent donors, include USAID, other EU-funded projects, KOICA, JICA, </w:t>
      </w:r>
      <w:r w:rsidR="007D2C89">
        <w:rPr>
          <w:rFonts w:eastAsiaTheme="minorEastAsia"/>
          <w:sz w:val="22"/>
          <w:szCs w:val="22"/>
          <w:lang w:val="en-GB"/>
        </w:rPr>
        <w:t xml:space="preserve">and international organisations like </w:t>
      </w:r>
      <w:r w:rsidR="00AB3DFD" w:rsidRPr="007A5C5F">
        <w:rPr>
          <w:rFonts w:eastAsiaTheme="minorEastAsia"/>
          <w:sz w:val="22"/>
          <w:szCs w:val="22"/>
          <w:lang w:val="en-GB"/>
        </w:rPr>
        <w:t xml:space="preserve">UNODC. </w:t>
      </w:r>
    </w:p>
    <w:p w14:paraId="1DD0EAE1" w14:textId="1C66874C" w:rsidR="002E468D" w:rsidRPr="007A5C5F" w:rsidRDefault="00AB3DFD" w:rsidP="005C163D">
      <w:pPr>
        <w:pStyle w:val="ListParagraph"/>
        <w:numPr>
          <w:ilvl w:val="0"/>
          <w:numId w:val="49"/>
        </w:numPr>
        <w:adjustRightInd/>
        <w:snapToGrid/>
        <w:spacing w:after="0"/>
        <w:jc w:val="both"/>
        <w:rPr>
          <w:sz w:val="22"/>
          <w:szCs w:val="22"/>
          <w:lang w:val="en-GB"/>
        </w:rPr>
      </w:pPr>
      <w:r w:rsidRPr="007A5C5F">
        <w:rPr>
          <w:sz w:val="22"/>
          <w:szCs w:val="22"/>
          <w:lang w:val="en-GB"/>
        </w:rPr>
        <w:t xml:space="preserve">The EU significant investments </w:t>
      </w:r>
      <w:r w:rsidR="00597CD7">
        <w:rPr>
          <w:sz w:val="22"/>
          <w:szCs w:val="22"/>
          <w:lang w:val="en-GB"/>
        </w:rPr>
        <w:t>in</w:t>
      </w:r>
      <w:r w:rsidRPr="007A5C5F">
        <w:rPr>
          <w:sz w:val="22"/>
          <w:szCs w:val="22"/>
          <w:lang w:val="en-GB"/>
        </w:rPr>
        <w:t xml:space="preserve"> justice sector support (</w:t>
      </w:r>
      <w:r w:rsidR="00140EC8" w:rsidRPr="007A5C5F">
        <w:rPr>
          <w:sz w:val="22"/>
          <w:szCs w:val="22"/>
          <w:lang w:val="en-GB"/>
        </w:rPr>
        <w:t xml:space="preserve">JURE) </w:t>
      </w:r>
      <w:r w:rsidR="006C0FEE" w:rsidRPr="007A5C5F">
        <w:rPr>
          <w:sz w:val="22"/>
          <w:szCs w:val="22"/>
          <w:lang w:val="en-GB"/>
        </w:rPr>
        <w:t>are</w:t>
      </w:r>
      <w:r w:rsidR="00140EC8" w:rsidRPr="007A5C5F">
        <w:rPr>
          <w:sz w:val="22"/>
          <w:szCs w:val="22"/>
          <w:lang w:val="en-GB"/>
        </w:rPr>
        <w:t xml:space="preserve"> followed by the</w:t>
      </w:r>
      <w:r w:rsidRPr="007A5C5F">
        <w:rPr>
          <w:sz w:val="22"/>
          <w:szCs w:val="22"/>
          <w:lang w:val="en-GB"/>
        </w:rPr>
        <w:t xml:space="preserve"> USD 19 million from USAID for the Social Cohesion and Reconciliation Project (2018–2023)</w:t>
      </w:r>
      <w:r w:rsidR="00CD60E5" w:rsidRPr="007A5C5F">
        <w:rPr>
          <w:rStyle w:val="FootnoteReference"/>
          <w:sz w:val="22"/>
          <w:szCs w:val="22"/>
          <w:lang w:val="en-GB"/>
        </w:rPr>
        <w:footnoteReference w:id="51"/>
      </w:r>
      <w:r w:rsidRPr="007A5C5F">
        <w:rPr>
          <w:sz w:val="22"/>
          <w:szCs w:val="22"/>
          <w:lang w:val="en-GB"/>
        </w:rPr>
        <w:t xml:space="preserve">. </w:t>
      </w:r>
      <w:r w:rsidR="002E468D" w:rsidRPr="007A5C5F">
        <w:rPr>
          <w:sz w:val="22"/>
          <w:szCs w:val="22"/>
          <w:lang w:val="en-GB"/>
        </w:rPr>
        <w:t>Between 2017 and 2021</w:t>
      </w:r>
      <w:r w:rsidR="00CD60E5" w:rsidRPr="007A5C5F">
        <w:rPr>
          <w:sz w:val="22"/>
          <w:szCs w:val="22"/>
          <w:lang w:val="en-GB"/>
        </w:rPr>
        <w:t xml:space="preserve">, </w:t>
      </w:r>
      <w:r w:rsidR="002E468D" w:rsidRPr="007A5C5F">
        <w:rPr>
          <w:sz w:val="22"/>
          <w:szCs w:val="22"/>
          <w:lang w:val="en-GB"/>
        </w:rPr>
        <w:t xml:space="preserve">USAID supported </w:t>
      </w:r>
      <w:r w:rsidR="00597CD7">
        <w:rPr>
          <w:sz w:val="22"/>
          <w:szCs w:val="22"/>
          <w:lang w:val="en-GB"/>
        </w:rPr>
        <w:t xml:space="preserve">the </w:t>
      </w:r>
      <w:r w:rsidR="002E468D" w:rsidRPr="007A5C5F">
        <w:rPr>
          <w:sz w:val="22"/>
          <w:szCs w:val="22"/>
          <w:lang w:val="en-GB"/>
        </w:rPr>
        <w:t>project Coherent, Open, Responsive, and Effective Justice Program</w:t>
      </w:r>
      <w:r w:rsidR="002E468D" w:rsidRPr="007A5C5F">
        <w:rPr>
          <w:rStyle w:val="FootnoteReference"/>
          <w:sz w:val="22"/>
          <w:szCs w:val="22"/>
          <w:lang w:val="en-GB"/>
        </w:rPr>
        <w:footnoteReference w:id="52"/>
      </w:r>
      <w:r w:rsidR="002E468D" w:rsidRPr="007A5C5F">
        <w:rPr>
          <w:sz w:val="22"/>
          <w:szCs w:val="22"/>
          <w:lang w:val="en-GB"/>
        </w:rPr>
        <w:t>.</w:t>
      </w:r>
    </w:p>
    <w:p w14:paraId="6E925FF3" w14:textId="57F12AA2" w:rsidR="003724A8" w:rsidRPr="007A5C5F" w:rsidRDefault="00AB3DFD" w:rsidP="003724A8">
      <w:pPr>
        <w:pStyle w:val="ListParagraph"/>
        <w:numPr>
          <w:ilvl w:val="0"/>
          <w:numId w:val="49"/>
        </w:numPr>
        <w:adjustRightInd/>
        <w:snapToGrid/>
        <w:spacing w:after="0"/>
        <w:jc w:val="both"/>
        <w:rPr>
          <w:sz w:val="22"/>
          <w:szCs w:val="22"/>
          <w:lang w:val="en-GB"/>
        </w:rPr>
      </w:pPr>
      <w:r w:rsidRPr="007A5C5F">
        <w:rPr>
          <w:sz w:val="22"/>
          <w:szCs w:val="22"/>
          <w:lang w:val="en-GB"/>
        </w:rPr>
        <w:t>These projects vary in duration, from short-term initiatives like UNODC’s USD 520,000 project on virtual trials (2021–2022) to longer-term efforts, such as USAID’s Efficient and Effective Justice Project (2022–2026)</w:t>
      </w:r>
      <w:r w:rsidR="00140EC8" w:rsidRPr="007A5C5F">
        <w:rPr>
          <w:sz w:val="22"/>
          <w:szCs w:val="22"/>
          <w:lang w:val="en-GB"/>
        </w:rPr>
        <w:t>,</w:t>
      </w:r>
      <w:r w:rsidRPr="007A5C5F">
        <w:rPr>
          <w:sz w:val="22"/>
          <w:szCs w:val="22"/>
          <w:lang w:val="en-GB"/>
        </w:rPr>
        <w:t xml:space="preserve"> </w:t>
      </w:r>
      <w:r w:rsidR="00140EC8" w:rsidRPr="007A5C5F">
        <w:rPr>
          <w:sz w:val="22"/>
          <w:szCs w:val="22"/>
          <w:lang w:val="en-GB"/>
        </w:rPr>
        <w:t xml:space="preserve">strengthening the Efficiency of the Justice Sector with a Focus on Commercial Law Investment and contract enforcement </w:t>
      </w:r>
      <w:r w:rsidRPr="007A5C5F">
        <w:rPr>
          <w:sz w:val="22"/>
          <w:szCs w:val="22"/>
          <w:lang w:val="en-GB"/>
        </w:rPr>
        <w:t>Specialized initiatives</w:t>
      </w:r>
      <w:r w:rsidR="00140EC8" w:rsidRPr="007A5C5F">
        <w:rPr>
          <w:sz w:val="22"/>
          <w:szCs w:val="22"/>
          <w:lang w:val="en-GB"/>
        </w:rPr>
        <w:t xml:space="preserve"> funded by the ADB</w:t>
      </w:r>
      <w:r w:rsidRPr="007A5C5F">
        <w:rPr>
          <w:sz w:val="22"/>
          <w:szCs w:val="22"/>
          <w:lang w:val="en-GB"/>
        </w:rPr>
        <w:t>, including KOICA’s USD 4.5 million investment in forensic drug analysis capacity and JICA’s JPY 60 million for equitable access to justice, focus on modernizing and strengthening specific justice sector components</w:t>
      </w:r>
      <w:r w:rsidR="00140EC8" w:rsidRPr="007A5C5F">
        <w:rPr>
          <w:rStyle w:val="FootnoteReference"/>
          <w:sz w:val="22"/>
          <w:szCs w:val="22"/>
          <w:lang w:val="en-GB"/>
        </w:rPr>
        <w:footnoteReference w:id="53"/>
      </w:r>
      <w:r w:rsidR="00140EC8" w:rsidRPr="007A5C5F">
        <w:rPr>
          <w:sz w:val="22"/>
          <w:szCs w:val="22"/>
          <w:lang w:val="en-GB"/>
        </w:rPr>
        <w:t>.</w:t>
      </w:r>
    </w:p>
    <w:p w14:paraId="13687ED0" w14:textId="77777777" w:rsidR="003724A8" w:rsidRPr="007A5C5F" w:rsidRDefault="003724A8" w:rsidP="00443215">
      <w:pPr>
        <w:pStyle w:val="Heading2"/>
        <w:rPr>
          <w:rFonts w:ascii="Times New Roman" w:hAnsi="Times New Roman" w:cs="Times New Roman"/>
          <w:lang w:val="en-GB"/>
        </w:rPr>
      </w:pPr>
      <w:bookmarkStart w:id="21" w:name="_Toc188348260"/>
      <w:r w:rsidRPr="007A5C5F">
        <w:rPr>
          <w:rFonts w:ascii="Times New Roman" w:hAnsi="Times New Roman" w:cs="Times New Roman"/>
          <w:lang w:val="en-GB"/>
        </w:rPr>
        <w:t>EFFICIENCY</w:t>
      </w:r>
      <w:bookmarkEnd w:id="21"/>
    </w:p>
    <w:p w14:paraId="6B979D71" w14:textId="77777777" w:rsidR="005961C3" w:rsidRPr="00ED60BB" w:rsidRDefault="005961C3" w:rsidP="0061282E">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How efficiently has the project utilized its resources, including financial management and value for money?</w:t>
      </w:r>
    </w:p>
    <w:p w14:paraId="7149F408" w14:textId="3F92CF8A" w:rsidR="005961C3" w:rsidRPr="00ED60BB" w:rsidRDefault="005961C3" w:rsidP="0061282E">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Are the project’s mechanisms for tracking change, monitoring, and reporting well-designed to measure progress accurately?</w:t>
      </w:r>
    </w:p>
    <w:p w14:paraId="2B43CC6F" w14:textId="77777777" w:rsidR="00227FE9" w:rsidRPr="00ED60BB" w:rsidRDefault="00227FE9" w:rsidP="00853E1F">
      <w:pPr>
        <w:pStyle w:val="ListParagraph"/>
        <w:numPr>
          <w:ilvl w:val="0"/>
          <w:numId w:val="0"/>
        </w:numPr>
        <w:adjustRightInd/>
        <w:snapToGrid/>
        <w:spacing w:after="0"/>
        <w:ind w:left="720"/>
        <w:jc w:val="both"/>
        <w:rPr>
          <w:b/>
          <w:bCs/>
          <w:i/>
          <w:iCs/>
          <w:color w:val="70AD47" w:themeColor="accent6"/>
          <w:sz w:val="22"/>
          <w:szCs w:val="22"/>
          <w:lang w:val="en-GB"/>
        </w:rPr>
      </w:pPr>
    </w:p>
    <w:tbl>
      <w:tblPr>
        <w:tblStyle w:val="IESTable"/>
        <w:tblW w:w="0" w:type="auto"/>
        <w:tblInd w:w="-5" w:type="dxa"/>
        <w:tblLook w:val="04A0" w:firstRow="1" w:lastRow="0" w:firstColumn="1" w:lastColumn="0" w:noHBand="0" w:noVBand="1"/>
      </w:tblPr>
      <w:tblGrid>
        <w:gridCol w:w="9585"/>
      </w:tblGrid>
      <w:tr w:rsidR="005961C3" w:rsidRPr="00ED60BB" w14:paraId="11F58787" w14:textId="77777777" w:rsidTr="001613B0">
        <w:trPr>
          <w:cnfStyle w:val="100000000000" w:firstRow="1" w:lastRow="0" w:firstColumn="0" w:lastColumn="0" w:oddVBand="0" w:evenVBand="0" w:oddHBand="0" w:evenHBand="0" w:firstRowFirstColumn="0" w:firstRowLastColumn="0" w:lastRowFirstColumn="0" w:lastRowLastColumn="0"/>
        </w:trPr>
        <w:tc>
          <w:tcPr>
            <w:tcW w:w="9585" w:type="dxa"/>
          </w:tcPr>
          <w:p w14:paraId="1295A55C" w14:textId="24612862" w:rsidR="005961C3" w:rsidRPr="00ED60BB" w:rsidRDefault="005961C3" w:rsidP="005961C3">
            <w:pPr>
              <w:adjustRightInd w:val="0"/>
              <w:snapToGrid w:val="0"/>
              <w:spacing w:after="120"/>
              <w:jc w:val="both"/>
              <w:rPr>
                <w:szCs w:val="22"/>
                <w:lang w:val="en-GB"/>
              </w:rPr>
            </w:pPr>
            <w:r w:rsidRPr="00ED60BB">
              <w:rPr>
                <w:b/>
                <w:szCs w:val="22"/>
                <w:lang w:val="en-GB"/>
              </w:rPr>
              <w:t>Rationale</w:t>
            </w:r>
            <w:r w:rsidRPr="00ED60BB">
              <w:rPr>
                <w:szCs w:val="22"/>
                <w:lang w:val="en-GB"/>
              </w:rPr>
              <w:t>: Efficiency focuses on how well the project uses resources, including time, finances, and human capacity, to achieve its results. It examines whether the project is cost-effective and whether its monitoring systems adequately capture gender-related data and performance indicators.</w:t>
            </w:r>
          </w:p>
        </w:tc>
      </w:tr>
    </w:tbl>
    <w:p w14:paraId="5FFBA484" w14:textId="77777777" w:rsidR="005961C3" w:rsidRPr="00ED60BB" w:rsidRDefault="005961C3" w:rsidP="005961C3">
      <w:pPr>
        <w:pStyle w:val="ListParagraph"/>
        <w:numPr>
          <w:ilvl w:val="0"/>
          <w:numId w:val="0"/>
        </w:numPr>
        <w:adjustRightInd/>
        <w:snapToGrid/>
        <w:spacing w:after="0"/>
        <w:ind w:left="720"/>
        <w:rPr>
          <w:b/>
          <w:bCs/>
          <w:i/>
          <w:iCs/>
          <w:color w:val="70AD47" w:themeColor="accent6"/>
          <w:sz w:val="22"/>
          <w:szCs w:val="22"/>
          <w:lang w:val="en-GB"/>
        </w:rPr>
      </w:pPr>
    </w:p>
    <w:p w14:paraId="1FD3EC01" w14:textId="03B65606" w:rsidR="0057665C" w:rsidRPr="007A5C5F" w:rsidRDefault="0057665C" w:rsidP="0057665C">
      <w:pPr>
        <w:pStyle w:val="ListParagraph"/>
        <w:numPr>
          <w:ilvl w:val="0"/>
          <w:numId w:val="49"/>
        </w:numPr>
        <w:adjustRightInd/>
        <w:snapToGrid/>
        <w:spacing w:after="0"/>
        <w:jc w:val="both"/>
        <w:rPr>
          <w:sz w:val="22"/>
          <w:szCs w:val="22"/>
          <w:lang w:val="en-GB"/>
        </w:rPr>
      </w:pPr>
      <w:r w:rsidRPr="007A5C5F">
        <w:rPr>
          <w:b/>
          <w:bCs/>
          <w:sz w:val="22"/>
          <w:szCs w:val="22"/>
          <w:lang w:val="en-GB"/>
        </w:rPr>
        <w:t xml:space="preserve">Finding 4. The efficiency of the JURE project in utilizing its resources reveals a mixed picture, with notable strengths in operational investments but also significant challenges in financial management and </w:t>
      </w:r>
      <w:r w:rsidR="00936F65" w:rsidRPr="007A5C5F">
        <w:rPr>
          <w:b/>
          <w:bCs/>
          <w:sz w:val="22"/>
          <w:szCs w:val="22"/>
          <w:lang w:val="en-GB"/>
        </w:rPr>
        <w:t xml:space="preserve">assessment of </w:t>
      </w:r>
      <w:r w:rsidRPr="007A5C5F">
        <w:rPr>
          <w:b/>
          <w:bCs/>
          <w:sz w:val="22"/>
          <w:szCs w:val="22"/>
          <w:lang w:val="en-GB"/>
        </w:rPr>
        <w:t>value for money</w:t>
      </w:r>
      <w:r w:rsidR="00936F65" w:rsidRPr="007A5C5F">
        <w:rPr>
          <w:b/>
          <w:bCs/>
          <w:sz w:val="22"/>
          <w:szCs w:val="22"/>
          <w:lang w:val="en-GB"/>
        </w:rPr>
        <w:t xml:space="preserve"> under the current </w:t>
      </w:r>
      <w:r w:rsidR="009E2B5C" w:rsidRPr="007A5C5F">
        <w:rPr>
          <w:b/>
          <w:bCs/>
          <w:sz w:val="22"/>
          <w:szCs w:val="22"/>
          <w:lang w:val="en-GB"/>
        </w:rPr>
        <w:t>circumstances</w:t>
      </w:r>
      <w:r w:rsidRPr="007A5C5F">
        <w:rPr>
          <w:b/>
          <w:bCs/>
          <w:sz w:val="22"/>
          <w:szCs w:val="22"/>
          <w:lang w:val="en-GB"/>
        </w:rPr>
        <w:t>.</w:t>
      </w:r>
      <w:r w:rsidRPr="007A5C5F">
        <w:rPr>
          <w:lang w:val="en-GB"/>
        </w:rPr>
        <w:t xml:space="preserve"> </w:t>
      </w:r>
    </w:p>
    <w:p w14:paraId="4BFD83DE" w14:textId="77096BCE" w:rsidR="0057665C" w:rsidRDefault="0057665C" w:rsidP="00AD0F94">
      <w:pPr>
        <w:pStyle w:val="ListParagraph"/>
        <w:numPr>
          <w:ilvl w:val="0"/>
          <w:numId w:val="49"/>
        </w:numPr>
        <w:adjustRightInd/>
        <w:snapToGrid/>
        <w:spacing w:after="0"/>
        <w:jc w:val="both"/>
        <w:rPr>
          <w:sz w:val="22"/>
          <w:szCs w:val="22"/>
          <w:lang w:val="en-GB"/>
        </w:rPr>
      </w:pPr>
      <w:r w:rsidRPr="007A5C5F">
        <w:rPr>
          <w:sz w:val="22"/>
          <w:szCs w:val="22"/>
          <w:lang w:val="en-GB"/>
        </w:rPr>
        <w:t xml:space="preserve">There are significant disparities in expenditure rates between project outcomes and implementing agencies, raising concerns about the balanced and efficient use of resources. The total budget for JURE is USD 19,422,120, with contributions from the EU (USD 17,072,075), UNDP (USD 591,200), and UNICEF (USD 526,916). The JURE Project has received a total of </w:t>
      </w:r>
      <w:r w:rsidRPr="007A5C5F">
        <w:rPr>
          <w:rFonts w:eastAsia="AppleGothic"/>
          <w:b/>
          <w:bCs/>
          <w:sz w:val="22"/>
          <w:szCs w:val="22"/>
          <w:lang w:val="en-GB"/>
        </w:rPr>
        <w:t>USD 7,148,771</w:t>
      </w:r>
      <w:r w:rsidRPr="007A5C5F">
        <w:rPr>
          <w:sz w:val="22"/>
          <w:szCs w:val="22"/>
          <w:lang w:val="en-GB"/>
        </w:rPr>
        <w:t xml:space="preserve"> in funds, distributed between UNDP (</w:t>
      </w:r>
      <w:r w:rsidRPr="007A5C5F">
        <w:rPr>
          <w:rFonts w:eastAsia="AppleGothic"/>
          <w:b/>
          <w:bCs/>
          <w:sz w:val="22"/>
          <w:szCs w:val="22"/>
          <w:lang w:val="en-GB"/>
        </w:rPr>
        <w:t>USD 4,274,505</w:t>
      </w:r>
      <w:r w:rsidRPr="007A5C5F">
        <w:rPr>
          <w:sz w:val="22"/>
          <w:szCs w:val="22"/>
          <w:lang w:val="en-GB"/>
        </w:rPr>
        <w:t>) and UNICEF (</w:t>
      </w:r>
      <w:r w:rsidRPr="007A5C5F">
        <w:rPr>
          <w:rFonts w:eastAsia="AppleGothic"/>
          <w:b/>
          <w:bCs/>
          <w:sz w:val="22"/>
          <w:szCs w:val="22"/>
          <w:lang w:val="en-GB"/>
        </w:rPr>
        <w:t>USD 2,874,266</w:t>
      </w:r>
      <w:r w:rsidRPr="007A5C5F">
        <w:rPr>
          <w:sz w:val="22"/>
          <w:szCs w:val="22"/>
          <w:lang w:val="en-GB"/>
        </w:rPr>
        <w:t xml:space="preserve">). The first tranche of </w:t>
      </w:r>
      <w:r w:rsidRPr="007A5C5F">
        <w:rPr>
          <w:rFonts w:eastAsia="AppleGothic"/>
          <w:b/>
          <w:bCs/>
          <w:sz w:val="22"/>
          <w:szCs w:val="22"/>
          <w:lang w:val="en-GB"/>
        </w:rPr>
        <w:t>USD 2,461,000</w:t>
      </w:r>
      <w:r w:rsidRPr="007A5C5F">
        <w:rPr>
          <w:sz w:val="22"/>
          <w:szCs w:val="22"/>
          <w:lang w:val="en-GB"/>
        </w:rPr>
        <w:t xml:space="preserve"> was allocated for both agencies; however, due to the failure to report 70% utilization of this tranche, the EU reduced the subsequent tranche allocation by the unreported amount. The second tranche of </w:t>
      </w:r>
      <w:r w:rsidRPr="007A5C5F">
        <w:rPr>
          <w:rFonts w:eastAsia="AppleGothic"/>
          <w:b/>
          <w:bCs/>
          <w:sz w:val="22"/>
          <w:szCs w:val="22"/>
          <w:lang w:val="en-GB"/>
        </w:rPr>
        <w:t>USD 4,687,771</w:t>
      </w:r>
      <w:r w:rsidRPr="007A5C5F">
        <w:rPr>
          <w:sz w:val="22"/>
          <w:szCs w:val="22"/>
          <w:lang w:val="en-GB"/>
        </w:rPr>
        <w:t xml:space="preserve"> was released, with </w:t>
      </w:r>
      <w:r w:rsidRPr="007A5C5F">
        <w:rPr>
          <w:rFonts w:eastAsia="AppleGothic"/>
          <w:b/>
          <w:bCs/>
          <w:sz w:val="22"/>
          <w:szCs w:val="22"/>
          <w:lang w:val="en-GB"/>
        </w:rPr>
        <w:t>USD 2,660,945</w:t>
      </w:r>
      <w:r w:rsidRPr="007A5C5F">
        <w:rPr>
          <w:sz w:val="22"/>
          <w:szCs w:val="22"/>
          <w:lang w:val="en-GB"/>
        </w:rPr>
        <w:t xml:space="preserve"> for UNDP and </w:t>
      </w:r>
      <w:r w:rsidRPr="007A5C5F">
        <w:rPr>
          <w:rFonts w:eastAsia="AppleGothic"/>
          <w:b/>
          <w:bCs/>
          <w:sz w:val="22"/>
          <w:szCs w:val="22"/>
          <w:lang w:val="en-GB"/>
        </w:rPr>
        <w:t>USD 2,026,826</w:t>
      </w:r>
      <w:r w:rsidRPr="007A5C5F">
        <w:rPr>
          <w:sz w:val="22"/>
          <w:szCs w:val="22"/>
          <w:lang w:val="en-GB"/>
        </w:rPr>
        <w:t xml:space="preserve"> for UNICEF. The third tranche of </w:t>
      </w:r>
      <w:r w:rsidRPr="007A5C5F">
        <w:rPr>
          <w:b/>
          <w:bCs/>
          <w:sz w:val="22"/>
          <w:szCs w:val="22"/>
          <w:lang w:val="en-GB"/>
        </w:rPr>
        <w:t>USD 4,643,200.51</w:t>
      </w:r>
      <w:r w:rsidRPr="007A5C5F">
        <w:rPr>
          <w:sz w:val="22"/>
          <w:szCs w:val="22"/>
          <w:lang w:val="en-GB"/>
        </w:rPr>
        <w:t xml:space="preserve"> was approved but not yet disbursed by mid-2024. </w:t>
      </w:r>
      <w:r w:rsidR="00F73416" w:rsidRPr="00F73416">
        <w:rPr>
          <w:sz w:val="22"/>
          <w:szCs w:val="22"/>
        </w:rPr>
        <w:t xml:space="preserve">UNICEF </w:t>
      </w:r>
      <w:r w:rsidR="00F73416" w:rsidRPr="00F73416">
        <w:rPr>
          <w:b/>
          <w:bCs/>
          <w:sz w:val="22"/>
          <w:szCs w:val="22"/>
        </w:rPr>
        <w:t>rapidly utilized most of the first tranche</w:t>
      </w:r>
      <w:r w:rsidR="00F73416" w:rsidRPr="00F73416">
        <w:rPr>
          <w:sz w:val="22"/>
          <w:szCs w:val="22"/>
        </w:rPr>
        <w:t xml:space="preserve">, likely to meet initial implementation demands. However, when the </w:t>
      </w:r>
      <w:r w:rsidR="00F73416" w:rsidRPr="00F73416">
        <w:rPr>
          <w:b/>
          <w:bCs/>
          <w:sz w:val="22"/>
          <w:szCs w:val="22"/>
        </w:rPr>
        <w:t>second tranche was significantly delayed</w:t>
      </w:r>
      <w:r w:rsidR="00F73416" w:rsidRPr="00F73416">
        <w:rPr>
          <w:sz w:val="22"/>
          <w:szCs w:val="22"/>
        </w:rPr>
        <w:t xml:space="preserve">, UNICEF was left without funds for an extended period, affecting implementation momentum. Consequently, when the </w:t>
      </w:r>
      <w:r w:rsidR="00F73416" w:rsidRPr="00F73416">
        <w:rPr>
          <w:b/>
          <w:bCs/>
          <w:sz w:val="22"/>
          <w:szCs w:val="22"/>
        </w:rPr>
        <w:t>second tranche was eventually received</w:t>
      </w:r>
      <w:r w:rsidR="00F73416" w:rsidRPr="00F73416">
        <w:rPr>
          <w:sz w:val="22"/>
          <w:szCs w:val="22"/>
        </w:rPr>
        <w:t xml:space="preserve">, a </w:t>
      </w:r>
      <w:r w:rsidR="00F73416" w:rsidRPr="00F73416">
        <w:rPr>
          <w:b/>
          <w:bCs/>
          <w:sz w:val="22"/>
          <w:szCs w:val="22"/>
        </w:rPr>
        <w:t>more cautious spending approach</w:t>
      </w:r>
      <w:r w:rsidR="00F73416" w:rsidRPr="00F73416">
        <w:rPr>
          <w:sz w:val="22"/>
          <w:szCs w:val="22"/>
        </w:rPr>
        <w:t xml:space="preserve"> was adopted to avoid the risk of running out of funds again before the next </w:t>
      </w:r>
      <w:r w:rsidR="00F66632" w:rsidRPr="00F73416">
        <w:rPr>
          <w:sz w:val="22"/>
          <w:szCs w:val="22"/>
        </w:rPr>
        <w:t>disbursement.</w:t>
      </w:r>
      <w:r w:rsidR="00F66632" w:rsidRPr="007A5C5F">
        <w:rPr>
          <w:sz w:val="22"/>
          <w:szCs w:val="22"/>
          <w:lang w:val="en-GB"/>
        </w:rPr>
        <w:t xml:space="preserve"> Expenditure</w:t>
      </w:r>
      <w:r w:rsidRPr="007A5C5F">
        <w:rPr>
          <w:sz w:val="22"/>
          <w:szCs w:val="22"/>
          <w:lang w:val="en-GB"/>
        </w:rPr>
        <w:t xml:space="preserve"> as of December 31, 2023, was USD 4,289,883, with an additional USD 1,543,889 spent by June 30, 2024, </w:t>
      </w:r>
      <w:r w:rsidR="00F73416">
        <w:rPr>
          <w:sz w:val="22"/>
          <w:szCs w:val="22"/>
          <w:lang w:val="en-GB"/>
        </w:rPr>
        <w:t>i</w:t>
      </w:r>
      <w:r w:rsidR="00F73416" w:rsidRPr="00C900FD">
        <w:rPr>
          <w:sz w:val="22"/>
          <w:szCs w:val="22"/>
          <w:lang w:val="en-GB"/>
        </w:rPr>
        <w:t>ndicating an implementation rate of 81.6%</w:t>
      </w:r>
      <w:r w:rsidR="00F73416">
        <w:rPr>
          <w:sz w:val="22"/>
          <w:szCs w:val="22"/>
          <w:lang w:val="en-GB"/>
        </w:rPr>
        <w:t xml:space="preserve"> - rather </w:t>
      </w:r>
      <w:r w:rsidRPr="007A5C5F">
        <w:rPr>
          <w:sz w:val="22"/>
          <w:szCs w:val="22"/>
          <w:lang w:val="en-GB"/>
        </w:rPr>
        <w:t>slow financial progress relative to the project’s scope and timeframe.</w:t>
      </w:r>
      <w:r w:rsidR="00AD0F94" w:rsidRPr="007A5C5F">
        <w:rPr>
          <w:sz w:val="22"/>
          <w:szCs w:val="22"/>
          <w:lang w:val="en-GB"/>
        </w:rPr>
        <w:t xml:space="preserve"> </w:t>
      </w:r>
      <w:r w:rsidRPr="007A5C5F">
        <w:rPr>
          <w:sz w:val="22"/>
          <w:szCs w:val="22"/>
          <w:lang w:val="en-GB"/>
        </w:rPr>
        <w:t>As of June 30, 2024, USD 12,273,349 remains unspent, representing a considerable proportion of the total budget</w:t>
      </w:r>
      <w:r w:rsidRPr="007A5C5F">
        <w:rPr>
          <w:rStyle w:val="FootnoteReference"/>
          <w:sz w:val="22"/>
          <w:szCs w:val="22"/>
          <w:lang w:val="en-GB"/>
        </w:rPr>
        <w:footnoteReference w:id="54"/>
      </w:r>
      <w:r w:rsidRPr="007A5C5F">
        <w:rPr>
          <w:sz w:val="22"/>
          <w:szCs w:val="22"/>
          <w:lang w:val="en-GB"/>
        </w:rPr>
        <w:t>.</w:t>
      </w:r>
    </w:p>
    <w:p w14:paraId="219341A7" w14:textId="77777777" w:rsidR="00F73416" w:rsidRDefault="00F73416" w:rsidP="00F73416">
      <w:pPr>
        <w:jc w:val="both"/>
        <w:rPr>
          <w:sz w:val="22"/>
          <w:szCs w:val="22"/>
          <w:lang w:val="en-GB"/>
        </w:rPr>
      </w:pPr>
    </w:p>
    <w:p w14:paraId="1A47128C" w14:textId="6CCF908E" w:rsidR="00F73416" w:rsidRPr="00F73416" w:rsidRDefault="00F73416" w:rsidP="00C900FD">
      <w:pPr>
        <w:pStyle w:val="Caption"/>
        <w:jc w:val="both"/>
        <w:rPr>
          <w:sz w:val="22"/>
          <w:szCs w:val="22"/>
          <w:lang w:val="en-GB"/>
        </w:rPr>
      </w:pPr>
      <w:r>
        <w:t xml:space="preserve">Figure </w:t>
      </w:r>
      <w:r>
        <w:fldChar w:fldCharType="begin"/>
      </w:r>
      <w:r>
        <w:instrText xml:space="preserve"> SEQ Figure \* ARABIC </w:instrText>
      </w:r>
      <w:r>
        <w:fldChar w:fldCharType="separate"/>
      </w:r>
      <w:r w:rsidR="0095181E">
        <w:rPr>
          <w:noProof/>
        </w:rPr>
        <w:t>6</w:t>
      </w:r>
      <w:r>
        <w:fldChar w:fldCharType="end"/>
      </w:r>
      <w:r>
        <w:t>. Project Financial overview</w:t>
      </w:r>
    </w:p>
    <w:tbl>
      <w:tblPr>
        <w:tblStyle w:val="GridTable4-Accent2"/>
        <w:tblW w:w="0" w:type="auto"/>
        <w:tblInd w:w="1075" w:type="dxa"/>
        <w:tblLook w:val="0620" w:firstRow="1" w:lastRow="0" w:firstColumn="0" w:lastColumn="0" w:noHBand="1" w:noVBand="1"/>
      </w:tblPr>
      <w:tblGrid>
        <w:gridCol w:w="3605"/>
        <w:gridCol w:w="2345"/>
      </w:tblGrid>
      <w:tr w:rsidR="00C900FD" w:rsidRPr="00F73416" w14:paraId="5B45E891" w14:textId="77777777" w:rsidTr="00C900FD">
        <w:trPr>
          <w:cnfStyle w:val="100000000000" w:firstRow="1" w:lastRow="0" w:firstColumn="0" w:lastColumn="0" w:oddVBand="0" w:evenVBand="0" w:oddHBand="0" w:evenHBand="0" w:firstRowFirstColumn="0" w:firstRowLastColumn="0" w:lastRowFirstColumn="0" w:lastRowLastColumn="0"/>
        </w:trPr>
        <w:tc>
          <w:tcPr>
            <w:tcW w:w="3605" w:type="dxa"/>
          </w:tcPr>
          <w:p w14:paraId="702424AE" w14:textId="77777777" w:rsidR="00F73416" w:rsidRPr="00F73416" w:rsidRDefault="00F73416" w:rsidP="00C900FD">
            <w:pPr>
              <w:jc w:val="center"/>
              <w:rPr>
                <w:sz w:val="22"/>
                <w:szCs w:val="22"/>
                <w:lang w:val="en-GB"/>
              </w:rPr>
            </w:pPr>
            <w:r w:rsidRPr="00F73416">
              <w:rPr>
                <w:sz w:val="22"/>
                <w:szCs w:val="22"/>
                <w:lang w:val="en-GB"/>
              </w:rPr>
              <w:t>Category</w:t>
            </w:r>
          </w:p>
        </w:tc>
        <w:tc>
          <w:tcPr>
            <w:tcW w:w="2345" w:type="dxa"/>
          </w:tcPr>
          <w:p w14:paraId="35A02205" w14:textId="77777777" w:rsidR="00F73416" w:rsidRPr="00F73416" w:rsidRDefault="00F73416" w:rsidP="00C900FD">
            <w:pPr>
              <w:jc w:val="center"/>
              <w:rPr>
                <w:sz w:val="22"/>
                <w:szCs w:val="22"/>
                <w:lang w:val="en-GB"/>
              </w:rPr>
            </w:pPr>
            <w:r w:rsidRPr="00F73416">
              <w:rPr>
                <w:sz w:val="22"/>
                <w:szCs w:val="22"/>
                <w:lang w:val="en-GB"/>
              </w:rPr>
              <w:t>Amount (USD)</w:t>
            </w:r>
          </w:p>
        </w:tc>
      </w:tr>
      <w:tr w:rsidR="00C900FD" w:rsidRPr="00F73416" w14:paraId="103FDFE0" w14:textId="77777777" w:rsidTr="00C900FD">
        <w:tc>
          <w:tcPr>
            <w:tcW w:w="3605" w:type="dxa"/>
          </w:tcPr>
          <w:p w14:paraId="23F7D8D8" w14:textId="53E0894D" w:rsidR="00F73416" w:rsidRPr="00ED60BB" w:rsidRDefault="00F73416" w:rsidP="00C900FD">
            <w:pPr>
              <w:jc w:val="both"/>
              <w:rPr>
                <w:sz w:val="20"/>
                <w:szCs w:val="20"/>
                <w:lang w:val="en-GB"/>
              </w:rPr>
            </w:pPr>
            <w:r w:rsidRPr="00ED60BB">
              <w:rPr>
                <w:sz w:val="20"/>
                <w:szCs w:val="20"/>
                <w:lang w:val="en-GB"/>
              </w:rPr>
              <w:t>Total Budget</w:t>
            </w:r>
          </w:p>
        </w:tc>
        <w:tc>
          <w:tcPr>
            <w:tcW w:w="2345" w:type="dxa"/>
          </w:tcPr>
          <w:p w14:paraId="7646ABF5" w14:textId="77777777" w:rsidR="00F73416" w:rsidRPr="00ED60BB" w:rsidRDefault="00F73416" w:rsidP="00C900FD">
            <w:pPr>
              <w:jc w:val="both"/>
              <w:rPr>
                <w:sz w:val="20"/>
                <w:szCs w:val="20"/>
                <w:lang w:val="en-GB"/>
              </w:rPr>
            </w:pPr>
            <w:r w:rsidRPr="00ED60BB">
              <w:rPr>
                <w:sz w:val="20"/>
                <w:szCs w:val="20"/>
                <w:lang w:val="en-GB"/>
              </w:rPr>
              <w:t>19,422,120.00</w:t>
            </w:r>
          </w:p>
        </w:tc>
      </w:tr>
      <w:tr w:rsidR="00C900FD" w:rsidRPr="00F73416" w14:paraId="39E93CF1" w14:textId="77777777" w:rsidTr="00C900FD">
        <w:tc>
          <w:tcPr>
            <w:tcW w:w="3605" w:type="dxa"/>
          </w:tcPr>
          <w:p w14:paraId="7D7C503D" w14:textId="68003F4A" w:rsidR="00F73416" w:rsidRPr="00ED60BB" w:rsidRDefault="00F73416" w:rsidP="00C900FD">
            <w:pPr>
              <w:jc w:val="both"/>
              <w:rPr>
                <w:sz w:val="20"/>
                <w:szCs w:val="20"/>
                <w:lang w:val="en-GB"/>
              </w:rPr>
            </w:pPr>
            <w:r w:rsidRPr="00ED60BB">
              <w:rPr>
                <w:sz w:val="20"/>
                <w:szCs w:val="20"/>
                <w:lang w:val="en-GB"/>
              </w:rPr>
              <w:t>EU Contribution</w:t>
            </w:r>
          </w:p>
        </w:tc>
        <w:tc>
          <w:tcPr>
            <w:tcW w:w="2345" w:type="dxa"/>
          </w:tcPr>
          <w:p w14:paraId="251F3962" w14:textId="77777777" w:rsidR="00F73416" w:rsidRPr="00ED60BB" w:rsidRDefault="00F73416" w:rsidP="00C900FD">
            <w:pPr>
              <w:jc w:val="both"/>
              <w:rPr>
                <w:sz w:val="20"/>
                <w:szCs w:val="20"/>
                <w:lang w:val="en-GB"/>
              </w:rPr>
            </w:pPr>
            <w:r w:rsidRPr="00ED60BB">
              <w:rPr>
                <w:sz w:val="20"/>
                <w:szCs w:val="20"/>
                <w:lang w:val="en-GB"/>
              </w:rPr>
              <w:t>17,072,075.00</w:t>
            </w:r>
          </w:p>
        </w:tc>
      </w:tr>
      <w:tr w:rsidR="00C900FD" w:rsidRPr="00F73416" w14:paraId="31B077C1" w14:textId="77777777" w:rsidTr="00C900FD">
        <w:tc>
          <w:tcPr>
            <w:tcW w:w="3605" w:type="dxa"/>
          </w:tcPr>
          <w:p w14:paraId="43D3C94F" w14:textId="6C88DE6F" w:rsidR="00F73416" w:rsidRPr="00ED60BB" w:rsidRDefault="00F73416" w:rsidP="00C900FD">
            <w:pPr>
              <w:jc w:val="both"/>
              <w:rPr>
                <w:sz w:val="20"/>
                <w:szCs w:val="20"/>
                <w:lang w:val="en-GB"/>
              </w:rPr>
            </w:pPr>
            <w:r w:rsidRPr="00ED60BB">
              <w:rPr>
                <w:sz w:val="20"/>
                <w:szCs w:val="20"/>
                <w:lang w:val="en-GB"/>
              </w:rPr>
              <w:t>UNDP Contribution</w:t>
            </w:r>
          </w:p>
        </w:tc>
        <w:tc>
          <w:tcPr>
            <w:tcW w:w="2345" w:type="dxa"/>
          </w:tcPr>
          <w:p w14:paraId="2EDEBAC9" w14:textId="77777777" w:rsidR="00F73416" w:rsidRPr="00ED60BB" w:rsidRDefault="00F73416" w:rsidP="00C900FD">
            <w:pPr>
              <w:jc w:val="both"/>
              <w:rPr>
                <w:sz w:val="20"/>
                <w:szCs w:val="20"/>
                <w:lang w:val="en-GB"/>
              </w:rPr>
            </w:pPr>
            <w:r w:rsidRPr="00ED60BB">
              <w:rPr>
                <w:sz w:val="20"/>
                <w:szCs w:val="20"/>
                <w:lang w:val="en-GB"/>
              </w:rPr>
              <w:t>591,200.00</w:t>
            </w:r>
          </w:p>
        </w:tc>
      </w:tr>
      <w:tr w:rsidR="00C900FD" w:rsidRPr="00F73416" w14:paraId="356BEE31" w14:textId="77777777" w:rsidTr="00C900FD">
        <w:tc>
          <w:tcPr>
            <w:tcW w:w="3605" w:type="dxa"/>
          </w:tcPr>
          <w:p w14:paraId="59EEEC92" w14:textId="59CA3F62" w:rsidR="00F73416" w:rsidRPr="00ED60BB" w:rsidRDefault="00F73416" w:rsidP="00C900FD">
            <w:pPr>
              <w:jc w:val="both"/>
              <w:rPr>
                <w:sz w:val="20"/>
                <w:szCs w:val="20"/>
                <w:lang w:val="en-GB"/>
              </w:rPr>
            </w:pPr>
            <w:r w:rsidRPr="00ED60BB">
              <w:rPr>
                <w:sz w:val="20"/>
                <w:szCs w:val="20"/>
                <w:lang w:val="en-GB"/>
              </w:rPr>
              <w:t>UNICEF Contribution</w:t>
            </w:r>
          </w:p>
        </w:tc>
        <w:tc>
          <w:tcPr>
            <w:tcW w:w="2345" w:type="dxa"/>
          </w:tcPr>
          <w:p w14:paraId="3DF6857D" w14:textId="77777777" w:rsidR="00F73416" w:rsidRPr="00ED60BB" w:rsidRDefault="00F73416" w:rsidP="00C900FD">
            <w:pPr>
              <w:jc w:val="both"/>
              <w:rPr>
                <w:sz w:val="20"/>
                <w:szCs w:val="20"/>
                <w:lang w:val="en-GB"/>
              </w:rPr>
            </w:pPr>
            <w:r w:rsidRPr="00ED60BB">
              <w:rPr>
                <w:sz w:val="20"/>
                <w:szCs w:val="20"/>
                <w:lang w:val="en-GB"/>
              </w:rPr>
              <w:t>526,916.00</w:t>
            </w:r>
          </w:p>
        </w:tc>
      </w:tr>
      <w:tr w:rsidR="00C900FD" w:rsidRPr="00F73416" w14:paraId="5183F058" w14:textId="77777777" w:rsidTr="00C900FD">
        <w:tc>
          <w:tcPr>
            <w:tcW w:w="3605" w:type="dxa"/>
          </w:tcPr>
          <w:p w14:paraId="089DA938" w14:textId="3EEE8491" w:rsidR="00F73416" w:rsidRPr="00ED60BB" w:rsidRDefault="00F73416" w:rsidP="00C900FD">
            <w:pPr>
              <w:jc w:val="both"/>
              <w:rPr>
                <w:sz w:val="20"/>
                <w:szCs w:val="20"/>
                <w:lang w:val="en-GB"/>
              </w:rPr>
            </w:pPr>
            <w:r w:rsidRPr="00ED60BB">
              <w:rPr>
                <w:sz w:val="20"/>
                <w:szCs w:val="20"/>
                <w:lang w:val="en-GB"/>
              </w:rPr>
              <w:t>Total Funds Received</w:t>
            </w:r>
          </w:p>
        </w:tc>
        <w:tc>
          <w:tcPr>
            <w:tcW w:w="2345" w:type="dxa"/>
          </w:tcPr>
          <w:p w14:paraId="23716D89" w14:textId="77777777" w:rsidR="00F73416" w:rsidRPr="00ED60BB" w:rsidRDefault="00F73416" w:rsidP="00C900FD">
            <w:pPr>
              <w:jc w:val="both"/>
              <w:rPr>
                <w:sz w:val="20"/>
                <w:szCs w:val="20"/>
                <w:lang w:val="en-GB"/>
              </w:rPr>
            </w:pPr>
            <w:r w:rsidRPr="00ED60BB">
              <w:rPr>
                <w:sz w:val="20"/>
                <w:szCs w:val="20"/>
                <w:lang w:val="en-GB"/>
              </w:rPr>
              <w:t>7,148,771.00</w:t>
            </w:r>
          </w:p>
        </w:tc>
      </w:tr>
      <w:tr w:rsidR="00C900FD" w:rsidRPr="00F73416" w14:paraId="244814DF" w14:textId="77777777" w:rsidTr="00C900FD">
        <w:tc>
          <w:tcPr>
            <w:tcW w:w="3605" w:type="dxa"/>
          </w:tcPr>
          <w:p w14:paraId="4DA83610" w14:textId="5F609314" w:rsidR="00F73416" w:rsidRPr="00ED60BB" w:rsidRDefault="00F73416" w:rsidP="00C900FD">
            <w:pPr>
              <w:jc w:val="both"/>
              <w:rPr>
                <w:sz w:val="20"/>
                <w:szCs w:val="20"/>
                <w:lang w:val="en-GB"/>
              </w:rPr>
            </w:pPr>
            <w:r w:rsidRPr="00ED60BB">
              <w:rPr>
                <w:sz w:val="20"/>
                <w:szCs w:val="20"/>
                <w:lang w:val="en-GB"/>
              </w:rPr>
              <w:t>UNDP Funds Received</w:t>
            </w:r>
          </w:p>
        </w:tc>
        <w:tc>
          <w:tcPr>
            <w:tcW w:w="2345" w:type="dxa"/>
          </w:tcPr>
          <w:p w14:paraId="492ED256" w14:textId="77777777" w:rsidR="00F73416" w:rsidRPr="00ED60BB" w:rsidRDefault="00F73416" w:rsidP="00C900FD">
            <w:pPr>
              <w:jc w:val="both"/>
              <w:rPr>
                <w:sz w:val="20"/>
                <w:szCs w:val="20"/>
                <w:lang w:val="en-GB"/>
              </w:rPr>
            </w:pPr>
            <w:r w:rsidRPr="00ED60BB">
              <w:rPr>
                <w:sz w:val="20"/>
                <w:szCs w:val="20"/>
                <w:lang w:val="en-GB"/>
              </w:rPr>
              <w:t>4,274,505.00</w:t>
            </w:r>
          </w:p>
        </w:tc>
      </w:tr>
      <w:tr w:rsidR="00C900FD" w:rsidRPr="00F73416" w14:paraId="02466C66" w14:textId="77777777" w:rsidTr="00C900FD">
        <w:tc>
          <w:tcPr>
            <w:tcW w:w="3605" w:type="dxa"/>
          </w:tcPr>
          <w:p w14:paraId="7C556A80" w14:textId="16F74F65" w:rsidR="00F73416" w:rsidRPr="00ED60BB" w:rsidRDefault="00F73416" w:rsidP="00C900FD">
            <w:pPr>
              <w:jc w:val="both"/>
              <w:rPr>
                <w:sz w:val="20"/>
                <w:szCs w:val="20"/>
                <w:lang w:val="en-GB"/>
              </w:rPr>
            </w:pPr>
            <w:r w:rsidRPr="00ED60BB">
              <w:rPr>
                <w:sz w:val="20"/>
                <w:szCs w:val="20"/>
                <w:lang w:val="en-GB"/>
              </w:rPr>
              <w:t>UNICEF Funds Received</w:t>
            </w:r>
          </w:p>
        </w:tc>
        <w:tc>
          <w:tcPr>
            <w:tcW w:w="2345" w:type="dxa"/>
          </w:tcPr>
          <w:p w14:paraId="73E3B93E" w14:textId="77777777" w:rsidR="00F73416" w:rsidRPr="00ED60BB" w:rsidRDefault="00F73416" w:rsidP="00C900FD">
            <w:pPr>
              <w:jc w:val="both"/>
              <w:rPr>
                <w:sz w:val="20"/>
                <w:szCs w:val="20"/>
                <w:lang w:val="en-GB"/>
              </w:rPr>
            </w:pPr>
            <w:r w:rsidRPr="00ED60BB">
              <w:rPr>
                <w:sz w:val="20"/>
                <w:szCs w:val="20"/>
                <w:lang w:val="en-GB"/>
              </w:rPr>
              <w:t>2,874,266.00</w:t>
            </w:r>
          </w:p>
        </w:tc>
      </w:tr>
      <w:tr w:rsidR="00C900FD" w:rsidRPr="00F73416" w14:paraId="0F02B6D1" w14:textId="77777777" w:rsidTr="00C900FD">
        <w:tc>
          <w:tcPr>
            <w:tcW w:w="3605" w:type="dxa"/>
          </w:tcPr>
          <w:p w14:paraId="62B935AE" w14:textId="28AD831A" w:rsidR="00F73416" w:rsidRPr="00ED60BB" w:rsidRDefault="00F73416" w:rsidP="00C900FD">
            <w:pPr>
              <w:jc w:val="both"/>
              <w:rPr>
                <w:sz w:val="20"/>
                <w:szCs w:val="20"/>
                <w:lang w:val="en-GB"/>
              </w:rPr>
            </w:pPr>
            <w:r w:rsidRPr="00ED60BB">
              <w:rPr>
                <w:sz w:val="20"/>
                <w:szCs w:val="20"/>
                <w:lang w:val="en-GB"/>
              </w:rPr>
              <w:t>First Tranche</w:t>
            </w:r>
          </w:p>
        </w:tc>
        <w:tc>
          <w:tcPr>
            <w:tcW w:w="2345" w:type="dxa"/>
          </w:tcPr>
          <w:p w14:paraId="764D4FFE" w14:textId="77777777" w:rsidR="00F73416" w:rsidRPr="00ED60BB" w:rsidRDefault="00F73416" w:rsidP="00C900FD">
            <w:pPr>
              <w:jc w:val="both"/>
              <w:rPr>
                <w:sz w:val="20"/>
                <w:szCs w:val="20"/>
                <w:lang w:val="en-GB"/>
              </w:rPr>
            </w:pPr>
            <w:r w:rsidRPr="00ED60BB">
              <w:rPr>
                <w:sz w:val="20"/>
                <w:szCs w:val="20"/>
                <w:lang w:val="en-GB"/>
              </w:rPr>
              <w:t>2,461,000.00</w:t>
            </w:r>
          </w:p>
        </w:tc>
      </w:tr>
      <w:tr w:rsidR="00C900FD" w:rsidRPr="00F73416" w14:paraId="4EAC3EA5" w14:textId="77777777" w:rsidTr="00C900FD">
        <w:tc>
          <w:tcPr>
            <w:tcW w:w="3605" w:type="dxa"/>
          </w:tcPr>
          <w:p w14:paraId="762C26FF" w14:textId="238B32C5" w:rsidR="00F73416" w:rsidRPr="00ED60BB" w:rsidRDefault="00F73416" w:rsidP="00C900FD">
            <w:pPr>
              <w:jc w:val="both"/>
              <w:rPr>
                <w:sz w:val="20"/>
                <w:szCs w:val="20"/>
                <w:lang w:val="en-GB"/>
              </w:rPr>
            </w:pPr>
            <w:r w:rsidRPr="00ED60BB">
              <w:rPr>
                <w:sz w:val="20"/>
                <w:szCs w:val="20"/>
                <w:lang w:val="en-GB"/>
              </w:rPr>
              <w:t>Second Tranche</w:t>
            </w:r>
          </w:p>
        </w:tc>
        <w:tc>
          <w:tcPr>
            <w:tcW w:w="2345" w:type="dxa"/>
          </w:tcPr>
          <w:p w14:paraId="16E0F1E3" w14:textId="77777777" w:rsidR="00F73416" w:rsidRPr="00ED60BB" w:rsidRDefault="00F73416" w:rsidP="00C900FD">
            <w:pPr>
              <w:jc w:val="both"/>
              <w:rPr>
                <w:sz w:val="20"/>
                <w:szCs w:val="20"/>
                <w:lang w:val="en-GB"/>
              </w:rPr>
            </w:pPr>
            <w:r w:rsidRPr="00ED60BB">
              <w:rPr>
                <w:sz w:val="20"/>
                <w:szCs w:val="20"/>
                <w:lang w:val="en-GB"/>
              </w:rPr>
              <w:t>4,687,771.00</w:t>
            </w:r>
          </w:p>
        </w:tc>
      </w:tr>
      <w:tr w:rsidR="00C900FD" w:rsidRPr="00F73416" w14:paraId="7EFF8B45" w14:textId="77777777" w:rsidTr="00C900FD">
        <w:tc>
          <w:tcPr>
            <w:tcW w:w="3605" w:type="dxa"/>
          </w:tcPr>
          <w:p w14:paraId="40EC2E16" w14:textId="2E277D7E" w:rsidR="00F73416" w:rsidRPr="00ED60BB" w:rsidRDefault="00F73416" w:rsidP="00C900FD">
            <w:pPr>
              <w:jc w:val="both"/>
              <w:rPr>
                <w:sz w:val="20"/>
                <w:szCs w:val="20"/>
                <w:lang w:val="en-GB"/>
              </w:rPr>
            </w:pPr>
            <w:r w:rsidRPr="00ED60BB">
              <w:rPr>
                <w:sz w:val="20"/>
                <w:szCs w:val="20"/>
                <w:lang w:val="en-GB"/>
              </w:rPr>
              <w:t>Third Tranche (Approved but not disbursed)</w:t>
            </w:r>
          </w:p>
        </w:tc>
        <w:tc>
          <w:tcPr>
            <w:tcW w:w="2345" w:type="dxa"/>
          </w:tcPr>
          <w:p w14:paraId="3FB0DC48" w14:textId="77777777" w:rsidR="00F73416" w:rsidRPr="00ED60BB" w:rsidRDefault="00F73416" w:rsidP="00C900FD">
            <w:pPr>
              <w:jc w:val="both"/>
              <w:rPr>
                <w:sz w:val="20"/>
                <w:szCs w:val="20"/>
                <w:lang w:val="en-GB"/>
              </w:rPr>
            </w:pPr>
            <w:r w:rsidRPr="00ED60BB">
              <w:rPr>
                <w:sz w:val="20"/>
                <w:szCs w:val="20"/>
                <w:lang w:val="en-GB"/>
              </w:rPr>
              <w:t>4,643,200.51</w:t>
            </w:r>
          </w:p>
        </w:tc>
      </w:tr>
      <w:tr w:rsidR="00C900FD" w:rsidRPr="00F73416" w14:paraId="4D1266AD" w14:textId="77777777" w:rsidTr="00C900FD">
        <w:tc>
          <w:tcPr>
            <w:tcW w:w="3605" w:type="dxa"/>
          </w:tcPr>
          <w:p w14:paraId="2C8EE375" w14:textId="3C062104" w:rsidR="00F73416" w:rsidRPr="00ED60BB" w:rsidRDefault="00F73416" w:rsidP="00C900FD">
            <w:pPr>
              <w:jc w:val="both"/>
              <w:rPr>
                <w:sz w:val="20"/>
                <w:szCs w:val="20"/>
                <w:lang w:val="en-GB"/>
              </w:rPr>
            </w:pPr>
            <w:r w:rsidRPr="00ED60BB">
              <w:rPr>
                <w:sz w:val="20"/>
                <w:szCs w:val="20"/>
                <w:lang w:val="en-GB"/>
              </w:rPr>
              <w:t>Expenditure as of Dec 31, 2023</w:t>
            </w:r>
          </w:p>
        </w:tc>
        <w:tc>
          <w:tcPr>
            <w:tcW w:w="2345" w:type="dxa"/>
          </w:tcPr>
          <w:p w14:paraId="00B8D00E" w14:textId="77777777" w:rsidR="00F73416" w:rsidRPr="00ED60BB" w:rsidRDefault="00F73416" w:rsidP="00C900FD">
            <w:pPr>
              <w:jc w:val="both"/>
              <w:rPr>
                <w:sz w:val="20"/>
                <w:szCs w:val="20"/>
                <w:lang w:val="en-GB"/>
              </w:rPr>
            </w:pPr>
            <w:r w:rsidRPr="00ED60BB">
              <w:rPr>
                <w:sz w:val="20"/>
                <w:szCs w:val="20"/>
                <w:lang w:val="en-GB"/>
              </w:rPr>
              <w:t>4,289,883.00</w:t>
            </w:r>
          </w:p>
        </w:tc>
      </w:tr>
      <w:tr w:rsidR="00C900FD" w:rsidRPr="00F73416" w14:paraId="797FA1FF" w14:textId="77777777" w:rsidTr="00C900FD">
        <w:tc>
          <w:tcPr>
            <w:tcW w:w="3605" w:type="dxa"/>
          </w:tcPr>
          <w:p w14:paraId="55F9E087" w14:textId="522D72EA" w:rsidR="00F73416" w:rsidRPr="00ED60BB" w:rsidRDefault="00F73416" w:rsidP="00C900FD">
            <w:pPr>
              <w:jc w:val="both"/>
              <w:rPr>
                <w:sz w:val="20"/>
                <w:szCs w:val="20"/>
                <w:lang w:val="en-GB"/>
              </w:rPr>
            </w:pPr>
            <w:r w:rsidRPr="00ED60BB">
              <w:rPr>
                <w:sz w:val="20"/>
                <w:szCs w:val="20"/>
                <w:lang w:val="en-GB"/>
              </w:rPr>
              <w:t>Expenditure as of June 30, 2024</w:t>
            </w:r>
          </w:p>
        </w:tc>
        <w:tc>
          <w:tcPr>
            <w:tcW w:w="2345" w:type="dxa"/>
          </w:tcPr>
          <w:p w14:paraId="6E276CA3" w14:textId="77777777" w:rsidR="00F73416" w:rsidRPr="00ED60BB" w:rsidRDefault="00F73416" w:rsidP="00C900FD">
            <w:pPr>
              <w:jc w:val="both"/>
              <w:rPr>
                <w:sz w:val="20"/>
                <w:szCs w:val="20"/>
                <w:lang w:val="en-GB"/>
              </w:rPr>
            </w:pPr>
            <w:r w:rsidRPr="00ED60BB">
              <w:rPr>
                <w:sz w:val="20"/>
                <w:szCs w:val="20"/>
                <w:lang w:val="en-GB"/>
              </w:rPr>
              <w:t>1,543,889.00</w:t>
            </w:r>
          </w:p>
        </w:tc>
      </w:tr>
      <w:tr w:rsidR="00C900FD" w:rsidRPr="00F73416" w14:paraId="52B7FE7C" w14:textId="77777777" w:rsidTr="00C900FD">
        <w:tc>
          <w:tcPr>
            <w:tcW w:w="3605" w:type="dxa"/>
          </w:tcPr>
          <w:p w14:paraId="3076AC59" w14:textId="77777777" w:rsidR="00F73416" w:rsidRPr="00ED60BB" w:rsidRDefault="00F73416" w:rsidP="00C900FD">
            <w:pPr>
              <w:jc w:val="both"/>
              <w:rPr>
                <w:sz w:val="20"/>
                <w:szCs w:val="20"/>
                <w:lang w:val="en-GB"/>
              </w:rPr>
            </w:pPr>
            <w:r w:rsidRPr="00ED60BB">
              <w:rPr>
                <w:sz w:val="20"/>
                <w:szCs w:val="20"/>
                <w:lang w:val="en-GB"/>
              </w:rPr>
              <w:t>Implementation Rate (%)</w:t>
            </w:r>
          </w:p>
        </w:tc>
        <w:tc>
          <w:tcPr>
            <w:tcW w:w="2345" w:type="dxa"/>
          </w:tcPr>
          <w:p w14:paraId="53BE9DC9" w14:textId="77777777" w:rsidR="00F73416" w:rsidRPr="00ED60BB" w:rsidRDefault="00F73416" w:rsidP="00C900FD">
            <w:pPr>
              <w:jc w:val="both"/>
              <w:rPr>
                <w:sz w:val="20"/>
                <w:szCs w:val="20"/>
                <w:lang w:val="en-GB"/>
              </w:rPr>
            </w:pPr>
            <w:r w:rsidRPr="00ED60BB">
              <w:rPr>
                <w:sz w:val="20"/>
                <w:szCs w:val="20"/>
                <w:lang w:val="en-GB"/>
              </w:rPr>
              <w:t>81.60</w:t>
            </w:r>
          </w:p>
        </w:tc>
      </w:tr>
      <w:tr w:rsidR="00C900FD" w:rsidRPr="00F73416" w14:paraId="79230BC5" w14:textId="77777777" w:rsidTr="00C900FD">
        <w:tc>
          <w:tcPr>
            <w:tcW w:w="3605" w:type="dxa"/>
          </w:tcPr>
          <w:p w14:paraId="77AACC69" w14:textId="77777777" w:rsidR="00F73416" w:rsidRPr="00ED60BB" w:rsidRDefault="00F73416" w:rsidP="00C900FD">
            <w:pPr>
              <w:jc w:val="both"/>
              <w:rPr>
                <w:sz w:val="20"/>
                <w:szCs w:val="20"/>
                <w:lang w:val="en-GB"/>
              </w:rPr>
            </w:pPr>
            <w:r w:rsidRPr="00ED60BB">
              <w:rPr>
                <w:sz w:val="20"/>
                <w:szCs w:val="20"/>
                <w:lang w:val="en-GB"/>
              </w:rPr>
              <w:t>Unspent Funds as of June 30, 2024 (USD)</w:t>
            </w:r>
          </w:p>
        </w:tc>
        <w:tc>
          <w:tcPr>
            <w:tcW w:w="2345" w:type="dxa"/>
          </w:tcPr>
          <w:p w14:paraId="6E70D187" w14:textId="77777777" w:rsidR="00F73416" w:rsidRPr="00ED60BB" w:rsidRDefault="00F73416" w:rsidP="00C900FD">
            <w:pPr>
              <w:jc w:val="both"/>
              <w:rPr>
                <w:sz w:val="20"/>
                <w:szCs w:val="20"/>
                <w:lang w:val="en-GB"/>
              </w:rPr>
            </w:pPr>
            <w:r w:rsidRPr="00ED60BB">
              <w:rPr>
                <w:sz w:val="20"/>
                <w:szCs w:val="20"/>
                <w:lang w:val="en-GB"/>
              </w:rPr>
              <w:t>12,273,349.00</w:t>
            </w:r>
          </w:p>
        </w:tc>
      </w:tr>
    </w:tbl>
    <w:p w14:paraId="50877BC7" w14:textId="77777777" w:rsidR="00F73416" w:rsidRDefault="00F73416" w:rsidP="00F73416"/>
    <w:p w14:paraId="1E9BD346" w14:textId="77777777" w:rsidR="00F73416" w:rsidRPr="00C900FD" w:rsidRDefault="00F73416" w:rsidP="00C900FD">
      <w:pPr>
        <w:jc w:val="both"/>
        <w:rPr>
          <w:sz w:val="22"/>
          <w:szCs w:val="22"/>
          <w:lang w:val="en-GB"/>
        </w:rPr>
      </w:pPr>
    </w:p>
    <w:p w14:paraId="729C2A00" w14:textId="77777777" w:rsidR="00355BD2" w:rsidRPr="007A5C5F" w:rsidRDefault="006C0FEE" w:rsidP="00355BD2">
      <w:pPr>
        <w:pStyle w:val="ListParagraph"/>
        <w:numPr>
          <w:ilvl w:val="0"/>
          <w:numId w:val="49"/>
        </w:numPr>
        <w:adjustRightInd/>
        <w:snapToGrid/>
        <w:spacing w:after="0"/>
        <w:jc w:val="both"/>
        <w:rPr>
          <w:sz w:val="22"/>
          <w:szCs w:val="22"/>
          <w:lang w:val="en-GB"/>
        </w:rPr>
      </w:pPr>
      <w:r w:rsidRPr="007A5C5F">
        <w:rPr>
          <w:sz w:val="22"/>
          <w:szCs w:val="22"/>
          <w:lang w:val="en-GB"/>
        </w:rPr>
        <w:t xml:space="preserve">The JURE project has been implemented with delays that may require an additional extension to ensure the completion of all planned activities and the optimal utilization of </w:t>
      </w:r>
      <w:r w:rsidR="009E2B5C" w:rsidRPr="007A5C5F">
        <w:rPr>
          <w:sz w:val="22"/>
          <w:szCs w:val="22"/>
          <w:lang w:val="en-GB"/>
        </w:rPr>
        <w:t xml:space="preserve">substantial </w:t>
      </w:r>
      <w:r w:rsidRPr="007A5C5F">
        <w:rPr>
          <w:sz w:val="22"/>
          <w:szCs w:val="22"/>
          <w:lang w:val="en-GB"/>
        </w:rPr>
        <w:t xml:space="preserve">financial resources. These delays have been primarily attributed to challenges within local governance institutions, including human resource limitations and internal policy constraints. Specifically, inadequate staffing in district offices, particularly in valuation departments, and the absence of an in-house cadre of IT specialists within Local Authorities have significantly contributed to the setbacks. </w:t>
      </w:r>
    </w:p>
    <w:p w14:paraId="01B099DB" w14:textId="77777777" w:rsidR="00355BD2" w:rsidRPr="007A5C5F" w:rsidRDefault="00355BD2" w:rsidP="00355BD2">
      <w:pPr>
        <w:pStyle w:val="ListParagraph"/>
        <w:numPr>
          <w:ilvl w:val="0"/>
          <w:numId w:val="49"/>
        </w:numPr>
        <w:adjustRightInd/>
        <w:snapToGrid/>
        <w:spacing w:after="0"/>
        <w:jc w:val="both"/>
        <w:rPr>
          <w:sz w:val="22"/>
          <w:szCs w:val="22"/>
          <w:lang w:val="en-GB"/>
        </w:rPr>
      </w:pPr>
      <w:r w:rsidRPr="007A5C5F">
        <w:rPr>
          <w:b/>
          <w:sz w:val="22"/>
          <w:szCs w:val="22"/>
          <w:lang w:val="en-GB"/>
        </w:rPr>
        <w:t>Formulation:</w:t>
      </w:r>
      <w:r w:rsidRPr="007A5C5F">
        <w:rPr>
          <w:sz w:val="22"/>
          <w:szCs w:val="22"/>
          <w:lang w:val="en-GB"/>
        </w:rPr>
        <w:t xml:space="preserve"> The JURE programme, conceptualized in May 2019, underwent significant restructuring in 2021 due to political changes and new priorities identified by the Ministry of Justice.</w:t>
      </w:r>
      <w:r w:rsidRPr="007A5C5F">
        <w:rPr>
          <w:color w:val="000000"/>
          <w:sz w:val="22"/>
          <w:szCs w:val="22"/>
          <w:highlight w:val="white"/>
          <w:lang w:val="en-GB"/>
        </w:rPr>
        <w:t xml:space="preserve"> </w:t>
      </w:r>
      <w:r w:rsidRPr="007A5C5F">
        <w:rPr>
          <w:sz w:val="22"/>
          <w:szCs w:val="22"/>
          <w:lang w:val="en-GB"/>
        </w:rPr>
        <w:t>The Project was officially launched on 21</w:t>
      </w:r>
      <w:r w:rsidRPr="007A5C5F">
        <w:rPr>
          <w:sz w:val="22"/>
          <w:szCs w:val="22"/>
          <w:vertAlign w:val="superscript"/>
          <w:lang w:val="en-GB"/>
        </w:rPr>
        <w:t>st</w:t>
      </w:r>
      <w:r w:rsidRPr="007A5C5F">
        <w:rPr>
          <w:sz w:val="22"/>
          <w:szCs w:val="22"/>
          <w:lang w:val="en-GB"/>
        </w:rPr>
        <w:t xml:space="preserve"> February 2022</w:t>
      </w:r>
      <w:r w:rsidRPr="007A5C5F">
        <w:rPr>
          <w:sz w:val="22"/>
          <w:szCs w:val="22"/>
          <w:vertAlign w:val="superscript"/>
          <w:lang w:val="en-GB"/>
        </w:rPr>
        <w:footnoteReference w:id="55"/>
      </w:r>
      <w:r w:rsidRPr="007A5C5F">
        <w:rPr>
          <w:sz w:val="22"/>
          <w:szCs w:val="22"/>
          <w:lang w:val="en-GB"/>
        </w:rPr>
        <w:t>.    The programme's inception coincided with Sri Lanka's worst economic crisis, leading to public unrest, protests, and a political crisis. The unrest resulted in arrests, allegations of excessive force, and a surge in pro-bono legal services to defend detainees' rights. Institutions like the Human Rights Commission (HRC) played an active role in advocating for human rights. The ongoing constitutional reform process aimed to strengthen independent institutions but retained certain presidential powers, drawing criticism. The crisis also led to a rise in crime and delays in the justice system, exacerbated by fuel shortages that affected the public sector. Child protection issues worsened, with limited social and justice services, leading to increased domestic violence and child abuse cases. Against this backdrop, the JURE programme faces the challenge of navigating a volatile socio-economic and political environment while maintaining its priorities.</w:t>
      </w:r>
    </w:p>
    <w:p w14:paraId="10080422" w14:textId="77777777" w:rsidR="00355BD2" w:rsidRPr="007A5C5F" w:rsidRDefault="00355BD2" w:rsidP="00355BD2">
      <w:pPr>
        <w:pStyle w:val="ListParagraph"/>
        <w:numPr>
          <w:ilvl w:val="0"/>
          <w:numId w:val="49"/>
        </w:numPr>
        <w:adjustRightInd/>
        <w:snapToGrid/>
        <w:spacing w:after="0"/>
        <w:jc w:val="both"/>
        <w:rPr>
          <w:sz w:val="22"/>
          <w:szCs w:val="22"/>
          <w:lang w:val="en-GB"/>
        </w:rPr>
      </w:pPr>
      <w:r w:rsidRPr="007A5C5F">
        <w:rPr>
          <w:b/>
          <w:sz w:val="22"/>
          <w:szCs w:val="22"/>
          <w:lang w:val="en-GB"/>
        </w:rPr>
        <w:t>Coordination:</w:t>
      </w:r>
      <w:r w:rsidRPr="007A5C5F">
        <w:rPr>
          <w:sz w:val="22"/>
          <w:szCs w:val="22"/>
          <w:lang w:val="en-GB"/>
        </w:rPr>
        <w:t xml:space="preserve"> The Justice Sector Development Partner Meeting on 4 December 2023 focused on enhancing coordination among partners to streamline efforts in the justice sector. Discussions covered key initiatives like UNDP and UNICEF's JURE work on legal aid, dispute resolution, and law reform, with a particular focus on addressing court delays and improving data collection. The EU emphasized the need to align JURE's work with IMF anti-corruption recommendations, while UNDP highlighted capacity issues within the Commission to Investigate Allegations of Bribery or Corruption (CIABOC). Other partners, including USAID, JICA, and UNODC, shared updates on their respective projects, such as model courts, pre-trial conferences, and virtual courts for prisons. The meeting concluded with an agreement to meet quarterly, prioritize IMF governance diagnostics, and focus on key areas such as data sharing, case backlog reduction, alternative dispute resolution, and anti-corruption efforts.</w:t>
      </w:r>
    </w:p>
    <w:p w14:paraId="4D024E7B" w14:textId="77777777" w:rsidR="00355BD2" w:rsidRPr="007A5C5F" w:rsidRDefault="00355BD2" w:rsidP="00355BD2">
      <w:pPr>
        <w:pStyle w:val="ListParagraph"/>
        <w:numPr>
          <w:ilvl w:val="0"/>
          <w:numId w:val="49"/>
        </w:numPr>
        <w:adjustRightInd/>
        <w:snapToGrid/>
        <w:spacing w:after="0"/>
        <w:jc w:val="both"/>
        <w:rPr>
          <w:sz w:val="22"/>
          <w:szCs w:val="22"/>
          <w:lang w:val="en-GB"/>
        </w:rPr>
      </w:pPr>
      <w:r w:rsidRPr="007A5C5F">
        <w:rPr>
          <w:b/>
          <w:sz w:val="22"/>
          <w:szCs w:val="22"/>
          <w:lang w:val="en-GB"/>
        </w:rPr>
        <w:t xml:space="preserve">Result Monitoring. </w:t>
      </w:r>
      <w:r w:rsidRPr="007A5C5F">
        <w:rPr>
          <w:sz w:val="22"/>
          <w:szCs w:val="22"/>
          <w:lang w:val="en-GB"/>
        </w:rPr>
        <w:t xml:space="preserve">In 2024, the EU commissioned Result Oriented Monitoring (ROM), which concluded that the JURE intervention had demonstrated significant relevance in addressing critical gaps in access to justice, particularly for marginalized groups and women. However, progress has been hindered by </w:t>
      </w:r>
      <w:r w:rsidRPr="007A5C5F">
        <w:rPr>
          <w:sz w:val="22"/>
          <w:szCs w:val="22"/>
          <w:lang w:val="en-GB"/>
        </w:rPr>
        <w:lastRenderedPageBreak/>
        <w:t xml:space="preserve">challenges in delivering timely and impactful results, largely due to the absence of strategic leadership and cohesive coordination. While initial efforts succeeded in assessing legal sector capacities and engaging experienced implementing partners, the lack of centralized management has resulted in a more fragmented, demand-driven approach. Despite benefiting from synergies with other programs, the intervention has faced obstacles in achieving transformative outcomes, partly due to delays, underutilization of the budget, and a focus on capacity-building over substantive reforms. </w:t>
      </w:r>
    </w:p>
    <w:p w14:paraId="54E1A532" w14:textId="349E5A64" w:rsidR="00355BD2" w:rsidRPr="007A5C5F" w:rsidRDefault="00F73416" w:rsidP="00355BD2">
      <w:pPr>
        <w:pStyle w:val="ListParagraph"/>
        <w:numPr>
          <w:ilvl w:val="0"/>
          <w:numId w:val="49"/>
        </w:numPr>
        <w:adjustRightInd/>
        <w:snapToGrid/>
        <w:spacing w:after="0"/>
        <w:jc w:val="both"/>
        <w:rPr>
          <w:sz w:val="22"/>
          <w:szCs w:val="22"/>
          <w:lang w:val="en-GB"/>
        </w:rPr>
      </w:pPr>
      <w:r w:rsidRPr="00F73416">
        <w:rPr>
          <w:sz w:val="22"/>
          <w:szCs w:val="22"/>
        </w:rPr>
        <w:t>The report also raises concerns about the sustainability of results achieved with target groups, as they remain heavily dependent on JURE funding, while gender mainstreaming efforts have yet to be fully integrated.</w:t>
      </w:r>
      <w:r>
        <w:rPr>
          <w:rStyle w:val="FootnoteReference"/>
          <w:sz w:val="22"/>
          <w:szCs w:val="22"/>
        </w:rPr>
        <w:footnoteReference w:id="56"/>
      </w:r>
      <w:r w:rsidR="00355BD2" w:rsidRPr="007A5C5F">
        <w:rPr>
          <w:sz w:val="22"/>
          <w:szCs w:val="22"/>
          <w:lang w:val="en-GB"/>
        </w:rPr>
        <w:t>Key recommendations include</w:t>
      </w:r>
      <w:r>
        <w:rPr>
          <w:sz w:val="22"/>
          <w:szCs w:val="22"/>
          <w:lang w:val="en-GB"/>
        </w:rPr>
        <w:t>d</w:t>
      </w:r>
      <w:r w:rsidR="00355BD2" w:rsidRPr="007A5C5F">
        <w:rPr>
          <w:sz w:val="22"/>
          <w:szCs w:val="22"/>
          <w:lang w:val="en-GB"/>
        </w:rPr>
        <w:t xml:space="preserve"> appointing a dedicated coordinator, adopting a more results-oriented approach, revising the </w:t>
      </w:r>
      <w:r w:rsidR="009C2EF1" w:rsidRPr="007A5C5F">
        <w:rPr>
          <w:sz w:val="22"/>
          <w:szCs w:val="22"/>
          <w:lang w:val="en-GB"/>
        </w:rPr>
        <w:t>Logframe</w:t>
      </w:r>
      <w:r w:rsidR="00355BD2" w:rsidRPr="007A5C5F">
        <w:rPr>
          <w:sz w:val="22"/>
          <w:szCs w:val="22"/>
          <w:lang w:val="en-GB"/>
        </w:rPr>
        <w:t xml:space="preserve"> to strengthen indicators, and fully implementing the Gender Action Plan. Moreover, enhanced collaboration with civil society, improved alignment with justice institutions, and a stronger focus on transformative outcomes, data transparency, and EU visibility are also encouraged to ensure the intervention's long-term impact</w:t>
      </w:r>
      <w:r w:rsidR="00355BD2" w:rsidRPr="007A5C5F">
        <w:rPr>
          <w:sz w:val="22"/>
          <w:szCs w:val="22"/>
          <w:vertAlign w:val="superscript"/>
          <w:lang w:val="en-GB"/>
        </w:rPr>
        <w:footnoteReference w:id="57"/>
      </w:r>
      <w:r w:rsidR="00355BD2" w:rsidRPr="007A5C5F">
        <w:rPr>
          <w:sz w:val="22"/>
          <w:szCs w:val="22"/>
          <w:lang w:val="en-GB"/>
        </w:rPr>
        <w:t xml:space="preserve">. </w:t>
      </w:r>
    </w:p>
    <w:p w14:paraId="4399231A" w14:textId="09C6AA2A" w:rsidR="009E2B5C" w:rsidRPr="007A5C5F" w:rsidRDefault="00355BD2" w:rsidP="00355BD2">
      <w:pPr>
        <w:pStyle w:val="ListParagraph"/>
        <w:numPr>
          <w:ilvl w:val="0"/>
          <w:numId w:val="49"/>
        </w:numPr>
        <w:adjustRightInd/>
        <w:snapToGrid/>
        <w:spacing w:after="0"/>
        <w:jc w:val="both"/>
        <w:rPr>
          <w:sz w:val="22"/>
          <w:szCs w:val="22"/>
          <w:lang w:val="en-GB"/>
        </w:rPr>
      </w:pPr>
      <w:r w:rsidRPr="007A5C5F">
        <w:rPr>
          <w:sz w:val="22"/>
          <w:szCs w:val="22"/>
          <w:lang w:val="en-GB"/>
        </w:rPr>
        <w:t>The ROM report made ten recommendations that were accepted by the UNDP</w:t>
      </w:r>
      <w:r w:rsidRPr="007A5C5F">
        <w:rPr>
          <w:sz w:val="22"/>
          <w:szCs w:val="22"/>
          <w:vertAlign w:val="superscript"/>
          <w:lang w:val="en-GB"/>
        </w:rPr>
        <w:footnoteReference w:id="58"/>
      </w:r>
      <w:r w:rsidRPr="007A5C5F">
        <w:rPr>
          <w:sz w:val="22"/>
          <w:szCs w:val="22"/>
          <w:lang w:val="en-GB"/>
        </w:rPr>
        <w:t>. The recommendations call</w:t>
      </w:r>
      <w:r w:rsidR="001277A7" w:rsidRPr="007A5C5F">
        <w:rPr>
          <w:sz w:val="22"/>
          <w:szCs w:val="22"/>
          <w:lang w:val="en-GB"/>
        </w:rPr>
        <w:t>ed</w:t>
      </w:r>
      <w:r w:rsidRPr="007A5C5F">
        <w:rPr>
          <w:sz w:val="22"/>
          <w:szCs w:val="22"/>
          <w:lang w:val="en-GB"/>
        </w:rPr>
        <w:t xml:space="preserve"> for the urgent appointment of a </w:t>
      </w:r>
      <w:r w:rsidR="001277A7" w:rsidRPr="007A5C5F">
        <w:rPr>
          <w:sz w:val="22"/>
          <w:szCs w:val="22"/>
          <w:lang w:val="en-GB"/>
        </w:rPr>
        <w:t xml:space="preserve">Project </w:t>
      </w:r>
      <w:r w:rsidRPr="007A5C5F">
        <w:rPr>
          <w:sz w:val="22"/>
          <w:szCs w:val="22"/>
          <w:lang w:val="en-GB"/>
        </w:rPr>
        <w:t xml:space="preserve">Coordinator to provide strategic leadership, a shift to a results-oriented approach to ensure tangible outcomes, and accelerated implementation of transformative activities. Mainstreaming gender and revising the </w:t>
      </w:r>
      <w:r w:rsidR="009C2EF1" w:rsidRPr="007A5C5F">
        <w:rPr>
          <w:sz w:val="22"/>
          <w:szCs w:val="22"/>
          <w:lang w:val="en-GB"/>
        </w:rPr>
        <w:t>Logframe</w:t>
      </w:r>
      <w:r w:rsidRPr="007A5C5F">
        <w:rPr>
          <w:sz w:val="22"/>
          <w:szCs w:val="22"/>
          <w:lang w:val="en-GB"/>
        </w:rPr>
        <w:t xml:space="preserve"> indicators are highlighted to improve inclusiveness and tracking progress. Greater engagement with civil society and justice institutions is encouraged, along with promoting an open data model for transparency. Coordination with the EU communication strategy is also recommended to enhance visibility and alignment.</w:t>
      </w:r>
    </w:p>
    <w:p w14:paraId="18BF875E" w14:textId="4878210F" w:rsidR="005016B9" w:rsidRPr="007A5C5F" w:rsidRDefault="006C0FEE" w:rsidP="0061282E">
      <w:pPr>
        <w:pStyle w:val="ListParagraph"/>
        <w:numPr>
          <w:ilvl w:val="0"/>
          <w:numId w:val="49"/>
        </w:numPr>
        <w:adjustRightInd/>
        <w:snapToGrid/>
        <w:spacing w:after="0"/>
        <w:jc w:val="both"/>
        <w:rPr>
          <w:sz w:val="22"/>
          <w:szCs w:val="22"/>
          <w:lang w:val="en-GB"/>
        </w:rPr>
      </w:pPr>
      <w:r w:rsidRPr="007A5C5F">
        <w:rPr>
          <w:sz w:val="22"/>
          <w:szCs w:val="22"/>
          <w:lang w:val="en-GB"/>
        </w:rPr>
        <w:t>Addressing these issues will be critical to ensuring timely and effective project delivery.</w:t>
      </w:r>
      <w:r w:rsidR="0061282E" w:rsidRPr="007A5C5F">
        <w:rPr>
          <w:sz w:val="22"/>
          <w:szCs w:val="22"/>
          <w:lang w:val="en-GB"/>
        </w:rPr>
        <w:t xml:space="preserve"> The project staff explained that one of the reasons for the low utilization of resources was the late approval of the Work Plan for 2024, which subsequently delayed fund disbursements.</w:t>
      </w:r>
    </w:p>
    <w:p w14:paraId="390D74C7" w14:textId="77777777" w:rsidR="00EE67CC" w:rsidRPr="007A5C5F" w:rsidRDefault="00EE67CC" w:rsidP="00EE67CC">
      <w:pPr>
        <w:jc w:val="both"/>
        <w:rPr>
          <w:sz w:val="22"/>
          <w:szCs w:val="22"/>
          <w:lang w:val="en-GB"/>
        </w:rPr>
      </w:pPr>
    </w:p>
    <w:p w14:paraId="1F7A7B16" w14:textId="77777777" w:rsidR="00EE67CC" w:rsidRPr="007A5C5F" w:rsidRDefault="00EE67CC" w:rsidP="00EE67CC">
      <w:pPr>
        <w:jc w:val="both"/>
        <w:rPr>
          <w:sz w:val="22"/>
          <w:szCs w:val="22"/>
          <w:lang w:val="en-GB"/>
        </w:rPr>
      </w:pPr>
    </w:p>
    <w:p w14:paraId="63336A81" w14:textId="6A1D6B04" w:rsidR="00EE67CC" w:rsidRPr="007A5C5F" w:rsidRDefault="00EE67CC" w:rsidP="00EE67CC">
      <w:pPr>
        <w:pStyle w:val="Caption"/>
        <w:rPr>
          <w:sz w:val="22"/>
          <w:szCs w:val="22"/>
          <w:lang w:val="en-GB"/>
        </w:rPr>
      </w:pPr>
      <w:r w:rsidRPr="007A5C5F">
        <w:rPr>
          <w:lang w:val="en-GB"/>
        </w:rPr>
        <w:t xml:space="preserve">Figure </w:t>
      </w:r>
      <w:r w:rsidRPr="007A5C5F">
        <w:rPr>
          <w:lang w:val="en-GB"/>
        </w:rPr>
        <w:fldChar w:fldCharType="begin"/>
      </w:r>
      <w:r w:rsidRPr="007A5C5F">
        <w:rPr>
          <w:lang w:val="en-GB"/>
        </w:rPr>
        <w:instrText xml:space="preserve"> SEQ Figure \* ARABIC </w:instrText>
      </w:r>
      <w:r w:rsidRPr="007A5C5F">
        <w:rPr>
          <w:lang w:val="en-GB"/>
        </w:rPr>
        <w:fldChar w:fldCharType="separate"/>
      </w:r>
      <w:r w:rsidR="0095181E">
        <w:rPr>
          <w:noProof/>
          <w:lang w:val="en-GB"/>
        </w:rPr>
        <w:t>7</w:t>
      </w:r>
      <w:r w:rsidRPr="007A5C5F">
        <w:rPr>
          <w:lang w:val="en-GB"/>
        </w:rPr>
        <w:fldChar w:fldCharType="end"/>
      </w:r>
      <w:r w:rsidRPr="007A5C5F">
        <w:rPr>
          <w:lang w:val="en-GB"/>
        </w:rPr>
        <w:t xml:space="preserve"> Chronology of events and milestones.</w:t>
      </w:r>
    </w:p>
    <w:p w14:paraId="6634967D" w14:textId="77D21439" w:rsidR="00EE67CC" w:rsidRPr="007A5C5F" w:rsidRDefault="00EE67CC" w:rsidP="00EE67CC">
      <w:pPr>
        <w:jc w:val="both"/>
        <w:rPr>
          <w:sz w:val="22"/>
          <w:szCs w:val="22"/>
          <w:lang w:val="en-GB"/>
        </w:rPr>
      </w:pPr>
      <w:r w:rsidRPr="007A5C5F">
        <w:rPr>
          <w:noProof/>
          <w:sz w:val="22"/>
          <w:szCs w:val="22"/>
          <w:lang w:val="en-GB"/>
        </w:rPr>
        <w:drawing>
          <wp:inline distT="0" distB="0" distL="0" distR="0" wp14:anchorId="515EC89D" wp14:editId="1303BA40">
            <wp:extent cx="5103272" cy="3300364"/>
            <wp:effectExtent l="0" t="0" r="2540" b="1905"/>
            <wp:docPr id="1907659066" name="Picture 4" descr="A timeline with different colore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659066" name="Picture 4" descr="A timeline with different colored numbers&#10;&#10;Description automatically generated with medium confidenc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157693" cy="3335559"/>
                    </a:xfrm>
                    <a:prstGeom prst="rect">
                      <a:avLst/>
                    </a:prstGeom>
                  </pic:spPr>
                </pic:pic>
              </a:graphicData>
            </a:graphic>
          </wp:inline>
        </w:drawing>
      </w:r>
    </w:p>
    <w:p w14:paraId="0F05FF29" w14:textId="77777777" w:rsidR="00EE67CC" w:rsidRPr="007A5C5F" w:rsidRDefault="00EE67CC" w:rsidP="00EE67CC">
      <w:pPr>
        <w:jc w:val="both"/>
        <w:rPr>
          <w:sz w:val="22"/>
          <w:szCs w:val="22"/>
          <w:lang w:val="en-GB"/>
        </w:rPr>
      </w:pPr>
    </w:p>
    <w:p w14:paraId="00EA4DDC" w14:textId="77777777" w:rsidR="00EE67CC" w:rsidRPr="007A5C5F" w:rsidRDefault="00EE67CC" w:rsidP="00EE67CC">
      <w:pPr>
        <w:jc w:val="both"/>
        <w:rPr>
          <w:sz w:val="22"/>
          <w:szCs w:val="22"/>
          <w:lang w:val="en-GB"/>
        </w:rPr>
      </w:pPr>
    </w:p>
    <w:p w14:paraId="74F3A195" w14:textId="7E03C6E0" w:rsidR="001613B0" w:rsidRPr="007A5C5F" w:rsidRDefault="00227FE9" w:rsidP="000A2ED4">
      <w:pPr>
        <w:pStyle w:val="ListParagraph"/>
        <w:numPr>
          <w:ilvl w:val="0"/>
          <w:numId w:val="49"/>
        </w:numPr>
        <w:adjustRightInd/>
        <w:snapToGrid/>
        <w:spacing w:after="0"/>
        <w:jc w:val="both"/>
        <w:rPr>
          <w:b/>
          <w:bCs/>
          <w:sz w:val="22"/>
          <w:szCs w:val="22"/>
          <w:lang w:val="en-GB"/>
        </w:rPr>
      </w:pPr>
      <w:r w:rsidRPr="007A5C5F">
        <w:rPr>
          <w:b/>
          <w:bCs/>
          <w:sz w:val="22"/>
          <w:szCs w:val="22"/>
          <w:lang w:val="en-GB"/>
        </w:rPr>
        <w:lastRenderedPageBreak/>
        <w:t>Finding</w:t>
      </w:r>
      <w:r w:rsidR="000A2ED4" w:rsidRPr="007A5C5F">
        <w:rPr>
          <w:b/>
          <w:bCs/>
          <w:sz w:val="22"/>
          <w:szCs w:val="22"/>
          <w:lang w:val="en-GB"/>
        </w:rPr>
        <w:t xml:space="preserve"> </w:t>
      </w:r>
      <w:r w:rsidR="00355BD2" w:rsidRPr="007A5C5F">
        <w:rPr>
          <w:b/>
          <w:bCs/>
          <w:sz w:val="22"/>
          <w:szCs w:val="22"/>
          <w:lang w:val="en-GB"/>
        </w:rPr>
        <w:t>6</w:t>
      </w:r>
      <w:r w:rsidR="000A2ED4" w:rsidRPr="007A5C5F">
        <w:rPr>
          <w:b/>
          <w:bCs/>
          <w:sz w:val="22"/>
          <w:szCs w:val="22"/>
          <w:lang w:val="en-GB"/>
        </w:rPr>
        <w:t>.</w:t>
      </w:r>
      <w:r w:rsidRPr="007A5C5F">
        <w:rPr>
          <w:b/>
          <w:bCs/>
          <w:sz w:val="22"/>
          <w:szCs w:val="22"/>
          <w:lang w:val="en-GB"/>
        </w:rPr>
        <w:t xml:space="preserve"> </w:t>
      </w:r>
      <w:r w:rsidR="000A2ED4" w:rsidRPr="007A5C5F">
        <w:rPr>
          <w:b/>
          <w:bCs/>
          <w:sz w:val="22"/>
          <w:szCs w:val="22"/>
          <w:lang w:val="en-GB"/>
        </w:rPr>
        <w:t xml:space="preserve">While the JURE project has made progress despite significant delays, notable disparities in expenditure rates between outcomes and implementing agencies underscore the need for immediate adjustments to ensure balanced and efficient resource utilization. </w:t>
      </w:r>
      <w:r w:rsidR="00F92374" w:rsidRPr="007A5C5F">
        <w:rPr>
          <w:b/>
          <w:bCs/>
          <w:sz w:val="22"/>
          <w:szCs w:val="22"/>
          <w:lang w:val="en-GB"/>
        </w:rPr>
        <w:t>Efficient utilization of the third tranche and resolution of implementation delays will be critical to achieving project</w:t>
      </w:r>
      <w:r w:rsidR="0061282E" w:rsidRPr="007A5C5F">
        <w:rPr>
          <w:b/>
          <w:bCs/>
          <w:sz w:val="22"/>
          <w:szCs w:val="22"/>
          <w:lang w:val="en-GB"/>
        </w:rPr>
        <w:t xml:space="preserve"> </w:t>
      </w:r>
      <w:r w:rsidR="00F92374" w:rsidRPr="007A5C5F">
        <w:rPr>
          <w:b/>
          <w:bCs/>
          <w:sz w:val="22"/>
          <w:szCs w:val="22"/>
          <w:lang w:val="en-GB"/>
        </w:rPr>
        <w:t xml:space="preserve">objectives within the allocated timeframe and budget. </w:t>
      </w:r>
    </w:p>
    <w:p w14:paraId="2844BB49" w14:textId="33A27596" w:rsidR="003822CE" w:rsidRPr="00ED60BB" w:rsidRDefault="00FE48EB" w:rsidP="00ED60BB">
      <w:pPr>
        <w:pStyle w:val="ListParagraph"/>
        <w:numPr>
          <w:ilvl w:val="0"/>
          <w:numId w:val="49"/>
        </w:numPr>
        <w:adjustRightInd/>
        <w:snapToGrid/>
        <w:spacing w:after="0"/>
        <w:jc w:val="both"/>
        <w:rPr>
          <w:sz w:val="22"/>
          <w:szCs w:val="22"/>
          <w:lang w:val="en-GB"/>
        </w:rPr>
      </w:pPr>
      <w:r w:rsidRPr="007A5C5F">
        <w:rPr>
          <w:sz w:val="22"/>
          <w:szCs w:val="22"/>
          <w:lang w:val="en-GB"/>
        </w:rPr>
        <w:t xml:space="preserve">The JURE Project's </w:t>
      </w:r>
      <w:r w:rsidR="00F66632">
        <w:rPr>
          <w:sz w:val="22"/>
          <w:szCs w:val="22"/>
          <w:lang w:val="en-GB"/>
        </w:rPr>
        <w:t xml:space="preserve">allocated </w:t>
      </w:r>
      <w:r w:rsidR="00F66632" w:rsidRPr="007A5C5F">
        <w:rPr>
          <w:sz w:val="22"/>
          <w:szCs w:val="22"/>
          <w:lang w:val="en-GB"/>
        </w:rPr>
        <w:t>budget</w:t>
      </w:r>
      <w:r w:rsidRPr="007A5C5F">
        <w:rPr>
          <w:sz w:val="22"/>
          <w:szCs w:val="22"/>
          <w:lang w:val="en-GB"/>
        </w:rPr>
        <w:t xml:space="preserve">, </w:t>
      </w:r>
      <w:r w:rsidR="007A5C5F" w:rsidRPr="007A5C5F">
        <w:rPr>
          <w:sz w:val="22"/>
          <w:szCs w:val="22"/>
          <w:lang w:val="en-GB"/>
        </w:rPr>
        <w:t>totalling</w:t>
      </w:r>
      <w:r w:rsidRPr="007A5C5F">
        <w:rPr>
          <w:sz w:val="22"/>
          <w:szCs w:val="22"/>
          <w:lang w:val="en-GB"/>
        </w:rPr>
        <w:t xml:space="preserve"> USD 10,573,858, reflect a well-distributed budget across key cost categories to support its implementation</w:t>
      </w:r>
      <w:r w:rsidR="003822CE" w:rsidRPr="007A5C5F">
        <w:rPr>
          <w:rStyle w:val="FootnoteReference"/>
          <w:sz w:val="22"/>
          <w:szCs w:val="22"/>
          <w:lang w:val="en-GB"/>
        </w:rPr>
        <w:footnoteReference w:id="59"/>
      </w:r>
      <w:r w:rsidRPr="007A5C5F">
        <w:rPr>
          <w:sz w:val="22"/>
          <w:szCs w:val="22"/>
          <w:lang w:val="en-GB"/>
        </w:rPr>
        <w:t xml:space="preserve">. Significant investments were made in </w:t>
      </w:r>
      <w:r w:rsidRPr="007A5C5F">
        <w:rPr>
          <w:b/>
          <w:bCs/>
          <w:sz w:val="22"/>
          <w:szCs w:val="22"/>
          <w:lang w:val="en-GB"/>
        </w:rPr>
        <w:t>staff and personnel costs</w:t>
      </w:r>
      <w:r w:rsidRPr="007A5C5F">
        <w:rPr>
          <w:sz w:val="22"/>
          <w:szCs w:val="22"/>
          <w:lang w:val="en-GB"/>
        </w:rPr>
        <w:t xml:space="preserve">, which accounted for USD 3,179,751, highlighting the reliance on human resources for project management and activity execution. </w:t>
      </w:r>
      <w:r w:rsidRPr="007A5C5F">
        <w:rPr>
          <w:b/>
          <w:bCs/>
          <w:sz w:val="22"/>
          <w:szCs w:val="22"/>
          <w:lang w:val="en-GB"/>
        </w:rPr>
        <w:t>Supplies, commodities, and materials</w:t>
      </w:r>
      <w:r w:rsidRPr="007A5C5F">
        <w:rPr>
          <w:sz w:val="22"/>
          <w:szCs w:val="22"/>
          <w:lang w:val="en-GB"/>
        </w:rPr>
        <w:t xml:space="preserve"> were allocated USD </w:t>
      </w:r>
      <w:r w:rsidR="00D84D3D" w:rsidRPr="007A5C5F">
        <w:rPr>
          <w:sz w:val="22"/>
          <w:szCs w:val="22"/>
          <w:lang w:val="en-GB"/>
        </w:rPr>
        <w:t>3</w:t>
      </w:r>
      <w:r w:rsidRPr="007A5C5F">
        <w:rPr>
          <w:sz w:val="22"/>
          <w:szCs w:val="22"/>
          <w:lang w:val="en-GB"/>
        </w:rPr>
        <w:t xml:space="preserve">,656,927, underscoring the emphasis on procuring essential materials for program delivery. Additionally, USD 619,604 was spent on </w:t>
      </w:r>
      <w:r w:rsidRPr="007A5C5F">
        <w:rPr>
          <w:b/>
          <w:bCs/>
          <w:sz w:val="22"/>
          <w:szCs w:val="22"/>
          <w:lang w:val="en-GB"/>
        </w:rPr>
        <w:t>equipment, vehicles, and furniture</w:t>
      </w:r>
      <w:r w:rsidRPr="007A5C5F">
        <w:rPr>
          <w:sz w:val="22"/>
          <w:szCs w:val="22"/>
          <w:lang w:val="en-GB"/>
        </w:rPr>
        <w:t xml:space="preserve">, indicating the importance of infrastructure in enabling project activities. Travel expenses amounted to USD 546,942, supporting mobility for field operations, while </w:t>
      </w:r>
      <w:r w:rsidRPr="007A5C5F">
        <w:rPr>
          <w:b/>
          <w:bCs/>
          <w:sz w:val="22"/>
          <w:szCs w:val="22"/>
          <w:lang w:val="en-GB"/>
        </w:rPr>
        <w:t>general operating and direct costs</w:t>
      </w:r>
      <w:r w:rsidRPr="007A5C5F">
        <w:rPr>
          <w:sz w:val="22"/>
          <w:szCs w:val="22"/>
          <w:lang w:val="en-GB"/>
        </w:rPr>
        <w:t xml:space="preserve"> </w:t>
      </w:r>
      <w:r w:rsidR="007A5C5F" w:rsidRPr="007A5C5F">
        <w:rPr>
          <w:sz w:val="22"/>
          <w:szCs w:val="22"/>
          <w:lang w:val="en-GB"/>
        </w:rPr>
        <w:t>totalled</w:t>
      </w:r>
      <w:r w:rsidRPr="007A5C5F">
        <w:rPr>
          <w:sz w:val="22"/>
          <w:szCs w:val="22"/>
          <w:lang w:val="en-GB"/>
        </w:rPr>
        <w:t xml:space="preserve"> USD 1,338,705, covering necessary administrative and operational support. Indirect costs of USD 1,231,929 were allocated for organizational overheads, ensuring the sustainability of project operations</w:t>
      </w:r>
      <w:r w:rsidRPr="007A5C5F">
        <w:rPr>
          <w:rStyle w:val="FootnoteReference"/>
          <w:sz w:val="22"/>
          <w:szCs w:val="22"/>
          <w:lang w:val="en-GB"/>
        </w:rPr>
        <w:footnoteReference w:id="60"/>
      </w:r>
      <w:r w:rsidRPr="007A5C5F">
        <w:rPr>
          <w:sz w:val="22"/>
          <w:szCs w:val="22"/>
          <w:lang w:val="en-GB"/>
        </w:rPr>
        <w:t>.</w:t>
      </w:r>
      <w:r w:rsidR="003822CE" w:rsidRPr="007A5C5F">
        <w:rPr>
          <w:lang w:val="en-GB"/>
        </w:rPr>
        <w:t xml:space="preserve"> </w:t>
      </w:r>
      <w:r w:rsidR="003822CE" w:rsidRPr="007A5C5F">
        <w:rPr>
          <w:sz w:val="22"/>
          <w:szCs w:val="22"/>
          <w:lang w:val="en-GB"/>
        </w:rPr>
        <w:t>These expenditures underscore the reliance on human and material resources for implementation. Despite these allocations, delays and low utilization indicate inefficiencies in translating investments into results.</w:t>
      </w:r>
    </w:p>
    <w:p w14:paraId="5B66ECC6" w14:textId="60B478CC" w:rsidR="000A2ED4" w:rsidRPr="007A5C5F" w:rsidRDefault="003822CE" w:rsidP="003822CE">
      <w:pPr>
        <w:pStyle w:val="Caption"/>
        <w:ind w:left="720"/>
        <w:jc w:val="both"/>
        <w:rPr>
          <w:lang w:val="en-GB"/>
        </w:rPr>
      </w:pPr>
      <w:r w:rsidRPr="007A5C5F">
        <w:rPr>
          <w:lang w:val="en-GB"/>
        </w:rPr>
        <w:t xml:space="preserve">Figure </w:t>
      </w:r>
      <w:r w:rsidRPr="007A5C5F">
        <w:rPr>
          <w:lang w:val="en-GB"/>
        </w:rPr>
        <w:fldChar w:fldCharType="begin"/>
      </w:r>
      <w:r w:rsidRPr="007A5C5F">
        <w:rPr>
          <w:lang w:val="en-GB"/>
        </w:rPr>
        <w:instrText xml:space="preserve"> SEQ Figure \* ARABIC </w:instrText>
      </w:r>
      <w:r w:rsidRPr="007A5C5F">
        <w:rPr>
          <w:lang w:val="en-GB"/>
        </w:rPr>
        <w:fldChar w:fldCharType="separate"/>
      </w:r>
      <w:r w:rsidR="0095181E">
        <w:rPr>
          <w:noProof/>
          <w:lang w:val="en-GB"/>
        </w:rPr>
        <w:t>8</w:t>
      </w:r>
      <w:r w:rsidRPr="007A5C5F">
        <w:rPr>
          <w:lang w:val="en-GB"/>
        </w:rPr>
        <w:fldChar w:fldCharType="end"/>
      </w:r>
      <w:r w:rsidRPr="007A5C5F">
        <w:rPr>
          <w:lang w:val="en-GB"/>
        </w:rPr>
        <w:t>. Expenditure as of 30 June 2024</w:t>
      </w:r>
    </w:p>
    <w:tbl>
      <w:tblPr>
        <w:tblStyle w:val="GridTable4-Accent2"/>
        <w:tblW w:w="9204" w:type="dxa"/>
        <w:tblInd w:w="421" w:type="dxa"/>
        <w:tblLayout w:type="fixed"/>
        <w:tblLook w:val="06A0" w:firstRow="1" w:lastRow="0" w:firstColumn="1" w:lastColumn="0" w:noHBand="1" w:noVBand="1"/>
      </w:tblPr>
      <w:tblGrid>
        <w:gridCol w:w="3827"/>
        <w:gridCol w:w="2268"/>
        <w:gridCol w:w="1417"/>
        <w:gridCol w:w="1692"/>
      </w:tblGrid>
      <w:tr w:rsidR="000A2ED4" w:rsidRPr="00ED60BB" w14:paraId="0CAFC195" w14:textId="77777777" w:rsidTr="00AD0F9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827" w:type="dxa"/>
          </w:tcPr>
          <w:p w14:paraId="0752C65E" w14:textId="77777777" w:rsidR="000A2ED4" w:rsidRPr="00ED60BB" w:rsidRDefault="000A2ED4" w:rsidP="004835F2">
            <w:pPr>
              <w:ind w:left="360" w:hanging="360"/>
              <w:jc w:val="center"/>
              <w:rPr>
                <w:rFonts w:eastAsia="Calibri"/>
                <w:color w:val="000000" w:themeColor="text1"/>
                <w:sz w:val="20"/>
                <w:szCs w:val="20"/>
                <w:lang w:val="en-GB"/>
              </w:rPr>
            </w:pPr>
            <w:r w:rsidRPr="00ED60BB">
              <w:rPr>
                <w:rFonts w:eastAsia="Calibri"/>
                <w:color w:val="000000" w:themeColor="text1"/>
                <w:sz w:val="20"/>
                <w:szCs w:val="20"/>
                <w:lang w:val="en-GB"/>
              </w:rPr>
              <w:t>Implementation period</w:t>
            </w:r>
          </w:p>
        </w:tc>
        <w:tc>
          <w:tcPr>
            <w:tcW w:w="2268" w:type="dxa"/>
          </w:tcPr>
          <w:p w14:paraId="0D90C950" w14:textId="77777777" w:rsidR="000A2ED4" w:rsidRPr="00ED60BB" w:rsidRDefault="000A2ED4" w:rsidP="004835F2">
            <w:pPr>
              <w:jc w:val="center"/>
              <w:cnfStyle w:val="100000000000" w:firstRow="1" w:lastRow="0" w:firstColumn="0" w:lastColumn="0" w:oddVBand="0" w:evenVBand="0" w:oddHBand="0" w:evenHBand="0" w:firstRowFirstColumn="0" w:firstRowLastColumn="0" w:lastRowFirstColumn="0" w:lastRowLastColumn="0"/>
              <w:rPr>
                <w:rFonts w:eastAsia="Calibri"/>
                <w:b w:val="0"/>
                <w:color w:val="000000" w:themeColor="text1"/>
                <w:sz w:val="20"/>
                <w:szCs w:val="20"/>
                <w:lang w:val="en-GB"/>
              </w:rPr>
            </w:pPr>
            <w:r w:rsidRPr="00ED60BB">
              <w:rPr>
                <w:rFonts w:eastAsia="Calibri"/>
                <w:color w:val="000000" w:themeColor="text1"/>
                <w:sz w:val="20"/>
                <w:szCs w:val="20"/>
                <w:lang w:val="en-GB"/>
              </w:rPr>
              <w:t>Total</w:t>
            </w:r>
          </w:p>
        </w:tc>
        <w:tc>
          <w:tcPr>
            <w:tcW w:w="1417" w:type="dxa"/>
          </w:tcPr>
          <w:p w14:paraId="0687A848" w14:textId="77777777" w:rsidR="000A2ED4" w:rsidRPr="00ED60BB" w:rsidRDefault="000A2ED4" w:rsidP="004835F2">
            <w:pPr>
              <w:jc w:val="center"/>
              <w:cnfStyle w:val="100000000000" w:firstRow="1" w:lastRow="0" w:firstColumn="0" w:lastColumn="0" w:oddVBand="0" w:evenVBand="0" w:oddHBand="0" w:evenHBand="0" w:firstRowFirstColumn="0" w:firstRowLastColumn="0" w:lastRowFirstColumn="0" w:lastRowLastColumn="0"/>
              <w:rPr>
                <w:rFonts w:eastAsia="Calibri"/>
                <w:b w:val="0"/>
                <w:color w:val="000000" w:themeColor="text1"/>
                <w:sz w:val="20"/>
                <w:szCs w:val="20"/>
                <w:lang w:val="en-GB"/>
              </w:rPr>
            </w:pPr>
            <w:r w:rsidRPr="00ED60BB">
              <w:rPr>
                <w:rFonts w:eastAsia="Calibri"/>
                <w:color w:val="000000" w:themeColor="text1"/>
                <w:sz w:val="20"/>
                <w:szCs w:val="20"/>
                <w:lang w:val="en-GB"/>
              </w:rPr>
              <w:t>UNDP</w:t>
            </w:r>
          </w:p>
        </w:tc>
        <w:tc>
          <w:tcPr>
            <w:tcW w:w="1692" w:type="dxa"/>
          </w:tcPr>
          <w:p w14:paraId="1D4F77B3" w14:textId="77777777" w:rsidR="000A2ED4" w:rsidRPr="00ED60BB" w:rsidRDefault="000A2ED4" w:rsidP="004835F2">
            <w:pPr>
              <w:jc w:val="center"/>
              <w:cnfStyle w:val="100000000000" w:firstRow="1" w:lastRow="0" w:firstColumn="0" w:lastColumn="0" w:oddVBand="0" w:evenVBand="0" w:oddHBand="0" w:evenHBand="0" w:firstRowFirstColumn="0" w:firstRowLastColumn="0" w:lastRowFirstColumn="0" w:lastRowLastColumn="0"/>
              <w:rPr>
                <w:rFonts w:eastAsia="Calibri"/>
                <w:b w:val="0"/>
                <w:color w:val="000000" w:themeColor="text1"/>
                <w:sz w:val="20"/>
                <w:szCs w:val="20"/>
                <w:lang w:val="en-GB"/>
              </w:rPr>
            </w:pPr>
            <w:r w:rsidRPr="00ED60BB">
              <w:rPr>
                <w:rFonts w:eastAsia="Calibri"/>
                <w:color w:val="000000" w:themeColor="text1"/>
                <w:sz w:val="20"/>
                <w:szCs w:val="20"/>
                <w:lang w:val="en-GB"/>
              </w:rPr>
              <w:t>UNICEF</w:t>
            </w:r>
          </w:p>
        </w:tc>
      </w:tr>
      <w:tr w:rsidR="000A2ED4" w:rsidRPr="00ED60BB" w14:paraId="3D411856" w14:textId="77777777" w:rsidTr="00AD0F94">
        <w:trPr>
          <w:trHeight w:val="300"/>
        </w:trPr>
        <w:tc>
          <w:tcPr>
            <w:cnfStyle w:val="001000000000" w:firstRow="0" w:lastRow="0" w:firstColumn="1" w:lastColumn="0" w:oddVBand="0" w:evenVBand="0" w:oddHBand="0" w:evenHBand="0" w:firstRowFirstColumn="0" w:firstRowLastColumn="0" w:lastRowFirstColumn="0" w:lastRowLastColumn="0"/>
            <w:tcW w:w="3827" w:type="dxa"/>
          </w:tcPr>
          <w:p w14:paraId="4DA22368" w14:textId="77777777" w:rsidR="000A2ED4" w:rsidRPr="00ED60BB" w:rsidRDefault="000A2ED4" w:rsidP="00EE71C7">
            <w:pPr>
              <w:rPr>
                <w:rFonts w:eastAsia="Calibri"/>
                <w:b w:val="0"/>
                <w:color w:val="000000" w:themeColor="text1"/>
                <w:sz w:val="20"/>
                <w:szCs w:val="20"/>
                <w:lang w:val="en-GB"/>
              </w:rPr>
            </w:pPr>
            <w:r w:rsidRPr="00ED60BB">
              <w:rPr>
                <w:rFonts w:eastAsia="Calibri"/>
                <w:b w:val="0"/>
                <w:color w:val="000000" w:themeColor="text1"/>
                <w:sz w:val="20"/>
                <w:szCs w:val="20"/>
                <w:lang w:val="en-GB"/>
              </w:rPr>
              <w:t>Utilization as of 31</w:t>
            </w:r>
            <w:r w:rsidRPr="00ED60BB">
              <w:rPr>
                <w:rFonts w:eastAsia="Calibri"/>
                <w:b w:val="0"/>
                <w:color w:val="000000" w:themeColor="text1"/>
                <w:sz w:val="20"/>
                <w:szCs w:val="20"/>
                <w:vertAlign w:val="superscript"/>
                <w:lang w:val="en-GB"/>
              </w:rPr>
              <w:t>st</w:t>
            </w:r>
            <w:r w:rsidRPr="00ED60BB">
              <w:rPr>
                <w:rFonts w:eastAsia="Calibri"/>
                <w:b w:val="0"/>
                <w:color w:val="000000" w:themeColor="text1"/>
                <w:sz w:val="20"/>
                <w:szCs w:val="20"/>
                <w:lang w:val="en-GB"/>
              </w:rPr>
              <w:t xml:space="preserve"> December 2023</w:t>
            </w:r>
          </w:p>
        </w:tc>
        <w:tc>
          <w:tcPr>
            <w:tcW w:w="2268" w:type="dxa"/>
          </w:tcPr>
          <w:p w14:paraId="6035220C" w14:textId="77777777" w:rsidR="000A2ED4" w:rsidRPr="00ED60BB" w:rsidRDefault="000A2ED4" w:rsidP="00EE71C7">
            <w:pPr>
              <w:cnfStyle w:val="000000000000" w:firstRow="0" w:lastRow="0" w:firstColumn="0" w:lastColumn="0" w:oddVBand="0" w:evenVBand="0" w:oddHBand="0" w:evenHBand="0" w:firstRowFirstColumn="0" w:firstRowLastColumn="0" w:lastRowFirstColumn="0" w:lastRowLastColumn="0"/>
              <w:rPr>
                <w:rFonts w:eastAsia="Calibri"/>
                <w:bCs/>
                <w:color w:val="000000" w:themeColor="text1"/>
                <w:sz w:val="20"/>
                <w:szCs w:val="20"/>
                <w:lang w:val="en-GB"/>
              </w:rPr>
            </w:pPr>
            <w:r w:rsidRPr="00ED60BB">
              <w:rPr>
                <w:rFonts w:eastAsia="Calibri"/>
                <w:bCs/>
                <w:color w:val="000000" w:themeColor="text1"/>
                <w:sz w:val="20"/>
                <w:szCs w:val="20"/>
                <w:lang w:val="en-GB"/>
              </w:rPr>
              <w:t>4,289,883.00</w:t>
            </w:r>
          </w:p>
        </w:tc>
        <w:tc>
          <w:tcPr>
            <w:tcW w:w="1417" w:type="dxa"/>
          </w:tcPr>
          <w:p w14:paraId="71681B52" w14:textId="77777777" w:rsidR="000A2ED4" w:rsidRPr="00ED60BB" w:rsidRDefault="000A2ED4" w:rsidP="00EE71C7">
            <w:pPr>
              <w:cnfStyle w:val="000000000000" w:firstRow="0" w:lastRow="0" w:firstColumn="0" w:lastColumn="0" w:oddVBand="0" w:evenVBand="0" w:oddHBand="0" w:evenHBand="0" w:firstRowFirstColumn="0" w:firstRowLastColumn="0" w:lastRowFirstColumn="0" w:lastRowLastColumn="0"/>
              <w:rPr>
                <w:rFonts w:eastAsia="Calibri"/>
                <w:color w:val="000000" w:themeColor="text1"/>
                <w:sz w:val="20"/>
                <w:szCs w:val="20"/>
                <w:lang w:val="en-GB"/>
              </w:rPr>
            </w:pPr>
            <w:r w:rsidRPr="00ED60BB">
              <w:rPr>
                <w:rFonts w:eastAsia="Calibri"/>
                <w:color w:val="000000" w:themeColor="text1"/>
                <w:sz w:val="20"/>
                <w:szCs w:val="20"/>
                <w:lang w:val="en-GB"/>
              </w:rPr>
              <w:t>3,128,845.00</w:t>
            </w:r>
          </w:p>
        </w:tc>
        <w:tc>
          <w:tcPr>
            <w:tcW w:w="1692" w:type="dxa"/>
          </w:tcPr>
          <w:p w14:paraId="41ED0762" w14:textId="77777777" w:rsidR="000A2ED4" w:rsidRPr="00ED60BB" w:rsidRDefault="000A2ED4" w:rsidP="00EE71C7">
            <w:pPr>
              <w:cnfStyle w:val="000000000000" w:firstRow="0" w:lastRow="0" w:firstColumn="0" w:lastColumn="0" w:oddVBand="0" w:evenVBand="0" w:oddHBand="0" w:evenHBand="0" w:firstRowFirstColumn="0" w:firstRowLastColumn="0" w:lastRowFirstColumn="0" w:lastRowLastColumn="0"/>
              <w:rPr>
                <w:rFonts w:eastAsia="Calibri"/>
                <w:color w:val="000000" w:themeColor="text1"/>
                <w:sz w:val="20"/>
                <w:szCs w:val="20"/>
                <w:lang w:val="en-GB"/>
              </w:rPr>
            </w:pPr>
            <w:r w:rsidRPr="00ED60BB">
              <w:rPr>
                <w:rFonts w:eastAsia="Calibri"/>
                <w:color w:val="000000" w:themeColor="text1"/>
                <w:sz w:val="20"/>
                <w:szCs w:val="20"/>
                <w:lang w:val="en-GB"/>
              </w:rPr>
              <w:t>1,161,038.00</w:t>
            </w:r>
          </w:p>
        </w:tc>
      </w:tr>
      <w:tr w:rsidR="000A2ED4" w:rsidRPr="00ED60BB" w14:paraId="283274C1" w14:textId="77777777" w:rsidTr="00AD0F94">
        <w:trPr>
          <w:trHeight w:val="300"/>
        </w:trPr>
        <w:tc>
          <w:tcPr>
            <w:cnfStyle w:val="001000000000" w:firstRow="0" w:lastRow="0" w:firstColumn="1" w:lastColumn="0" w:oddVBand="0" w:evenVBand="0" w:oddHBand="0" w:evenHBand="0" w:firstRowFirstColumn="0" w:firstRowLastColumn="0" w:lastRowFirstColumn="0" w:lastRowLastColumn="0"/>
            <w:tcW w:w="3827" w:type="dxa"/>
          </w:tcPr>
          <w:p w14:paraId="054F7E00" w14:textId="77777777" w:rsidR="000A2ED4" w:rsidRPr="00ED60BB" w:rsidRDefault="000A2ED4" w:rsidP="00EE71C7">
            <w:pPr>
              <w:rPr>
                <w:rFonts w:eastAsia="Calibri"/>
                <w:b w:val="0"/>
                <w:color w:val="000000" w:themeColor="text1"/>
                <w:sz w:val="20"/>
                <w:szCs w:val="20"/>
                <w:lang w:val="en-GB"/>
              </w:rPr>
            </w:pPr>
            <w:r w:rsidRPr="00ED60BB">
              <w:rPr>
                <w:rFonts w:eastAsia="Calibri"/>
                <w:b w:val="0"/>
                <w:color w:val="000000" w:themeColor="text1"/>
                <w:sz w:val="20"/>
                <w:szCs w:val="20"/>
                <w:lang w:val="en-GB"/>
              </w:rPr>
              <w:t>Expenditure from 1</w:t>
            </w:r>
            <w:r w:rsidRPr="00ED60BB">
              <w:rPr>
                <w:rFonts w:eastAsia="Calibri"/>
                <w:b w:val="0"/>
                <w:color w:val="000000" w:themeColor="text1"/>
                <w:sz w:val="20"/>
                <w:szCs w:val="20"/>
                <w:vertAlign w:val="superscript"/>
                <w:lang w:val="en-GB"/>
              </w:rPr>
              <w:t>st</w:t>
            </w:r>
            <w:r w:rsidRPr="00ED60BB">
              <w:rPr>
                <w:rFonts w:eastAsia="Calibri"/>
                <w:b w:val="0"/>
                <w:color w:val="000000" w:themeColor="text1"/>
                <w:sz w:val="20"/>
                <w:szCs w:val="20"/>
                <w:lang w:val="en-GB"/>
              </w:rPr>
              <w:t xml:space="preserve"> Jan to 30</w:t>
            </w:r>
            <w:r w:rsidRPr="00ED60BB">
              <w:rPr>
                <w:rFonts w:eastAsia="Calibri"/>
                <w:b w:val="0"/>
                <w:color w:val="000000" w:themeColor="text1"/>
                <w:sz w:val="20"/>
                <w:szCs w:val="20"/>
                <w:vertAlign w:val="superscript"/>
                <w:lang w:val="en-GB"/>
              </w:rPr>
              <w:t>th</w:t>
            </w:r>
            <w:r w:rsidRPr="00ED60BB">
              <w:rPr>
                <w:rFonts w:eastAsia="Calibri"/>
                <w:b w:val="0"/>
                <w:color w:val="000000" w:themeColor="text1"/>
                <w:sz w:val="20"/>
                <w:szCs w:val="20"/>
                <w:lang w:val="en-GB"/>
              </w:rPr>
              <w:t xml:space="preserve"> June 2024</w:t>
            </w:r>
          </w:p>
        </w:tc>
        <w:tc>
          <w:tcPr>
            <w:tcW w:w="2268" w:type="dxa"/>
          </w:tcPr>
          <w:p w14:paraId="55A188E9" w14:textId="77777777" w:rsidR="000A2ED4" w:rsidRPr="00ED60BB" w:rsidRDefault="000A2ED4" w:rsidP="00EE71C7">
            <w:pPr>
              <w:cnfStyle w:val="000000000000" w:firstRow="0" w:lastRow="0" w:firstColumn="0" w:lastColumn="0" w:oddVBand="0" w:evenVBand="0" w:oddHBand="0" w:evenHBand="0" w:firstRowFirstColumn="0" w:firstRowLastColumn="0" w:lastRowFirstColumn="0" w:lastRowLastColumn="0"/>
              <w:rPr>
                <w:rFonts w:eastAsia="Calibri"/>
                <w:bCs/>
                <w:color w:val="000000" w:themeColor="text1"/>
                <w:sz w:val="20"/>
                <w:szCs w:val="20"/>
                <w:lang w:val="en-GB"/>
              </w:rPr>
            </w:pPr>
            <w:r w:rsidRPr="00ED60BB">
              <w:rPr>
                <w:rFonts w:eastAsia="Calibri"/>
                <w:bCs/>
                <w:color w:val="000000" w:themeColor="text1"/>
                <w:sz w:val="20"/>
                <w:szCs w:val="20"/>
                <w:lang w:val="en-GB"/>
              </w:rPr>
              <w:t>1,543,889.01</w:t>
            </w:r>
          </w:p>
        </w:tc>
        <w:tc>
          <w:tcPr>
            <w:tcW w:w="1417" w:type="dxa"/>
          </w:tcPr>
          <w:p w14:paraId="310E345A" w14:textId="77777777" w:rsidR="000A2ED4" w:rsidRPr="00ED60BB" w:rsidRDefault="000A2ED4" w:rsidP="00EE71C7">
            <w:pPr>
              <w:cnfStyle w:val="000000000000" w:firstRow="0" w:lastRow="0" w:firstColumn="0" w:lastColumn="0" w:oddVBand="0" w:evenVBand="0" w:oddHBand="0" w:evenHBand="0" w:firstRowFirstColumn="0" w:firstRowLastColumn="0" w:lastRowFirstColumn="0" w:lastRowLastColumn="0"/>
              <w:rPr>
                <w:rFonts w:eastAsia="Calibri"/>
                <w:color w:val="000000" w:themeColor="text1"/>
                <w:sz w:val="20"/>
                <w:szCs w:val="20"/>
                <w:lang w:val="en-GB"/>
              </w:rPr>
            </w:pPr>
            <w:r w:rsidRPr="00ED60BB">
              <w:rPr>
                <w:rFonts w:eastAsia="Calibri"/>
                <w:color w:val="000000" w:themeColor="text1"/>
                <w:sz w:val="20"/>
                <w:szCs w:val="20"/>
                <w:lang w:val="en-GB"/>
              </w:rPr>
              <w:t>824,754.06</w:t>
            </w:r>
          </w:p>
        </w:tc>
        <w:tc>
          <w:tcPr>
            <w:tcW w:w="1692" w:type="dxa"/>
          </w:tcPr>
          <w:p w14:paraId="08FB3525" w14:textId="77777777" w:rsidR="000A2ED4" w:rsidRPr="00ED60BB" w:rsidRDefault="000A2ED4" w:rsidP="00EE71C7">
            <w:pPr>
              <w:cnfStyle w:val="000000000000" w:firstRow="0" w:lastRow="0" w:firstColumn="0" w:lastColumn="0" w:oddVBand="0" w:evenVBand="0" w:oddHBand="0" w:evenHBand="0" w:firstRowFirstColumn="0" w:firstRowLastColumn="0" w:lastRowFirstColumn="0" w:lastRowLastColumn="0"/>
              <w:rPr>
                <w:rFonts w:eastAsia="Calibri"/>
                <w:color w:val="000000" w:themeColor="text1"/>
                <w:sz w:val="20"/>
                <w:szCs w:val="20"/>
                <w:lang w:val="en-GB"/>
              </w:rPr>
            </w:pPr>
            <w:r w:rsidRPr="00ED60BB">
              <w:rPr>
                <w:rFonts w:eastAsia="Calibri"/>
                <w:color w:val="000000" w:themeColor="text1"/>
                <w:sz w:val="20"/>
                <w:szCs w:val="20"/>
                <w:lang w:val="en-GB"/>
              </w:rPr>
              <w:t xml:space="preserve">    719,134.95</w:t>
            </w:r>
          </w:p>
        </w:tc>
      </w:tr>
      <w:tr w:rsidR="000A2ED4" w:rsidRPr="00ED60BB" w14:paraId="6248F092" w14:textId="77777777" w:rsidTr="00AD0F94">
        <w:trPr>
          <w:trHeight w:val="300"/>
        </w:trPr>
        <w:tc>
          <w:tcPr>
            <w:cnfStyle w:val="001000000000" w:firstRow="0" w:lastRow="0" w:firstColumn="1" w:lastColumn="0" w:oddVBand="0" w:evenVBand="0" w:oddHBand="0" w:evenHBand="0" w:firstRowFirstColumn="0" w:firstRowLastColumn="0" w:lastRowFirstColumn="0" w:lastRowLastColumn="0"/>
            <w:tcW w:w="6095" w:type="dxa"/>
            <w:gridSpan w:val="2"/>
          </w:tcPr>
          <w:p w14:paraId="32B5DF50" w14:textId="77777777" w:rsidR="000A2ED4" w:rsidRPr="00ED60BB" w:rsidRDefault="000A2ED4" w:rsidP="00EE71C7">
            <w:pPr>
              <w:rPr>
                <w:rFonts w:eastAsia="Calibri"/>
                <w:b w:val="0"/>
                <w:color w:val="000000" w:themeColor="text1"/>
                <w:sz w:val="20"/>
                <w:szCs w:val="20"/>
                <w:lang w:val="en-GB"/>
              </w:rPr>
            </w:pPr>
            <w:r w:rsidRPr="00ED60BB">
              <w:rPr>
                <w:rFonts w:eastAsia="Calibri"/>
                <w:b w:val="0"/>
                <w:color w:val="000000" w:themeColor="text1"/>
                <w:sz w:val="20"/>
                <w:szCs w:val="20"/>
                <w:lang w:val="en-GB"/>
              </w:rPr>
              <w:t>Total expenditure</w:t>
            </w:r>
          </w:p>
        </w:tc>
        <w:tc>
          <w:tcPr>
            <w:tcW w:w="1417" w:type="dxa"/>
          </w:tcPr>
          <w:p w14:paraId="0644D9AE" w14:textId="77777777" w:rsidR="000A2ED4" w:rsidRPr="00ED60BB" w:rsidRDefault="000A2ED4" w:rsidP="00EE71C7">
            <w:pPr>
              <w:cnfStyle w:val="000000000000" w:firstRow="0" w:lastRow="0" w:firstColumn="0" w:lastColumn="0" w:oddVBand="0" w:evenVBand="0" w:oddHBand="0" w:evenHBand="0" w:firstRowFirstColumn="0" w:firstRowLastColumn="0" w:lastRowFirstColumn="0" w:lastRowLastColumn="0"/>
              <w:rPr>
                <w:rFonts w:eastAsia="Calibri"/>
                <w:color w:val="000000" w:themeColor="text1"/>
                <w:sz w:val="20"/>
                <w:szCs w:val="20"/>
                <w:lang w:val="en-GB"/>
              </w:rPr>
            </w:pPr>
            <w:r w:rsidRPr="00ED60BB">
              <w:rPr>
                <w:rFonts w:eastAsia="Calibri"/>
                <w:color w:val="000000" w:themeColor="text1"/>
                <w:sz w:val="20"/>
                <w:szCs w:val="20"/>
                <w:lang w:val="en-GB"/>
              </w:rPr>
              <w:t>3,953,599.06</w:t>
            </w:r>
          </w:p>
        </w:tc>
        <w:tc>
          <w:tcPr>
            <w:tcW w:w="1692" w:type="dxa"/>
          </w:tcPr>
          <w:p w14:paraId="1A5FA4FB" w14:textId="77777777" w:rsidR="000A2ED4" w:rsidRPr="00ED60BB" w:rsidRDefault="000A2ED4" w:rsidP="00EE71C7">
            <w:pPr>
              <w:cnfStyle w:val="000000000000" w:firstRow="0" w:lastRow="0" w:firstColumn="0" w:lastColumn="0" w:oddVBand="0" w:evenVBand="0" w:oddHBand="0" w:evenHBand="0" w:firstRowFirstColumn="0" w:firstRowLastColumn="0" w:lastRowFirstColumn="0" w:lastRowLastColumn="0"/>
              <w:rPr>
                <w:rFonts w:eastAsia="Calibri"/>
                <w:color w:val="000000" w:themeColor="text1"/>
                <w:sz w:val="20"/>
                <w:szCs w:val="20"/>
                <w:lang w:val="en-GB"/>
              </w:rPr>
            </w:pPr>
            <w:r w:rsidRPr="00ED60BB">
              <w:rPr>
                <w:rFonts w:eastAsia="Calibri"/>
                <w:color w:val="000000" w:themeColor="text1"/>
                <w:sz w:val="20"/>
                <w:szCs w:val="20"/>
                <w:lang w:val="en-GB"/>
              </w:rPr>
              <w:t xml:space="preserve"> 1,880,172.95</w:t>
            </w:r>
          </w:p>
        </w:tc>
      </w:tr>
    </w:tbl>
    <w:p w14:paraId="2C97781F" w14:textId="77777777" w:rsidR="00FA0600" w:rsidRPr="00ED60BB" w:rsidRDefault="00FA0600" w:rsidP="00227FE9">
      <w:pPr>
        <w:jc w:val="both"/>
        <w:rPr>
          <w:sz w:val="20"/>
          <w:szCs w:val="20"/>
          <w:lang w:val="en-GB"/>
        </w:rPr>
      </w:pPr>
    </w:p>
    <w:p w14:paraId="6A7DD34E" w14:textId="712E5DDD" w:rsidR="00840A16" w:rsidRPr="007A5C5F" w:rsidRDefault="00840A16" w:rsidP="00840A16">
      <w:pPr>
        <w:pStyle w:val="ListParagraph"/>
        <w:numPr>
          <w:ilvl w:val="0"/>
          <w:numId w:val="49"/>
        </w:numPr>
        <w:adjustRightInd/>
        <w:snapToGrid/>
        <w:spacing w:after="0"/>
        <w:jc w:val="both"/>
        <w:rPr>
          <w:b/>
          <w:bCs/>
          <w:sz w:val="22"/>
          <w:szCs w:val="22"/>
          <w:lang w:val="en-GB"/>
        </w:rPr>
      </w:pPr>
      <w:r w:rsidRPr="007A5C5F">
        <w:rPr>
          <w:b/>
          <w:bCs/>
          <w:sz w:val="22"/>
          <w:szCs w:val="22"/>
          <w:lang w:val="en-GB"/>
        </w:rPr>
        <w:t xml:space="preserve">Finding </w:t>
      </w:r>
      <w:r w:rsidR="00355BD2" w:rsidRPr="007A5C5F">
        <w:rPr>
          <w:b/>
          <w:bCs/>
          <w:sz w:val="22"/>
          <w:szCs w:val="22"/>
          <w:lang w:val="en-GB"/>
        </w:rPr>
        <w:t>7</w:t>
      </w:r>
      <w:r w:rsidRPr="007A5C5F">
        <w:rPr>
          <w:b/>
          <w:bCs/>
          <w:sz w:val="22"/>
          <w:szCs w:val="22"/>
          <w:lang w:val="en-GB"/>
        </w:rPr>
        <w:t xml:space="preserve">. The JURE project has demonstrated adaptive management through its systematic and responsive approach to the recommendations provided during the Result-Oriented Monitoring (ROM) mission. The project team has effectively integrated several recommendations into its planning and implementation processes, </w:t>
      </w:r>
      <w:r w:rsidR="007A5C5F" w:rsidRPr="007A5C5F">
        <w:rPr>
          <w:b/>
          <w:bCs/>
          <w:sz w:val="22"/>
          <w:szCs w:val="22"/>
          <w:lang w:val="en-GB"/>
        </w:rPr>
        <w:t>signalling</w:t>
      </w:r>
      <w:r w:rsidRPr="007A5C5F">
        <w:rPr>
          <w:b/>
          <w:bCs/>
          <w:sz w:val="22"/>
          <w:szCs w:val="22"/>
          <w:lang w:val="en-GB"/>
        </w:rPr>
        <w:t xml:space="preserve"> a commitment to achieving transformative and sustainable outcomes.</w:t>
      </w:r>
    </w:p>
    <w:p w14:paraId="3757C35A" w14:textId="4AC6D879" w:rsidR="009844F7" w:rsidRPr="007A5C5F" w:rsidRDefault="009844F7" w:rsidP="009844F7">
      <w:pPr>
        <w:pStyle w:val="ListParagraph"/>
        <w:numPr>
          <w:ilvl w:val="0"/>
          <w:numId w:val="49"/>
        </w:numPr>
        <w:adjustRightInd/>
        <w:snapToGrid/>
        <w:spacing w:after="0"/>
        <w:jc w:val="both"/>
        <w:rPr>
          <w:sz w:val="22"/>
          <w:szCs w:val="22"/>
          <w:lang w:val="en-GB"/>
        </w:rPr>
      </w:pPr>
      <w:r w:rsidRPr="009844F7">
        <w:rPr>
          <w:sz w:val="22"/>
          <w:szCs w:val="22"/>
          <w:lang w:val="en-GB"/>
        </w:rPr>
        <w:t>Out of the 10 recommendations provided, 40% have been successfully completed, 50% are actively being implemented, and 10% are partially completed, demonstrating progress and a strong commitment to addressing the ROM recommendations</w:t>
      </w:r>
      <w:r w:rsidRPr="007A5C5F">
        <w:rPr>
          <w:rStyle w:val="FootnoteReference"/>
          <w:sz w:val="22"/>
          <w:szCs w:val="22"/>
          <w:lang w:val="en-GB"/>
        </w:rPr>
        <w:footnoteReference w:id="61"/>
      </w:r>
      <w:r w:rsidRPr="009844F7">
        <w:rPr>
          <w:sz w:val="22"/>
          <w:szCs w:val="22"/>
          <w:lang w:val="en-GB"/>
        </w:rPr>
        <w:t>.</w:t>
      </w:r>
    </w:p>
    <w:p w14:paraId="11DCA5DA" w14:textId="60B00B24" w:rsidR="00840A16" w:rsidRPr="007A5C5F" w:rsidRDefault="00840A16" w:rsidP="00840A16">
      <w:pPr>
        <w:pStyle w:val="ListParagraph"/>
        <w:numPr>
          <w:ilvl w:val="0"/>
          <w:numId w:val="49"/>
        </w:numPr>
        <w:adjustRightInd/>
        <w:snapToGrid/>
        <w:spacing w:after="0"/>
        <w:jc w:val="both"/>
        <w:rPr>
          <w:sz w:val="22"/>
          <w:szCs w:val="22"/>
          <w:lang w:val="en-GB"/>
        </w:rPr>
      </w:pPr>
      <w:r w:rsidRPr="007A5C5F">
        <w:rPr>
          <w:b/>
          <w:bCs/>
          <w:sz w:val="22"/>
          <w:szCs w:val="22"/>
          <w:lang w:val="en-GB"/>
        </w:rPr>
        <w:t>Strategic Leadership and Workplan Redesign.</w:t>
      </w:r>
      <w:r w:rsidRPr="007A5C5F">
        <w:rPr>
          <w:sz w:val="22"/>
          <w:szCs w:val="22"/>
          <w:lang w:val="en-GB"/>
        </w:rPr>
        <w:t xml:space="preserve"> Following the ROM recommendation to appoint a dedicated Intervention Coordinator, the recruitment of a Senior Technical Specialist (STS) in 2023 and their onboarding in March 2024 marked a pivotal step. The STS has played a critical role in re-designing the 2024 workplan, prioritizing areas for support and aligning with a results-based approach. While formal staff reorganization has not occurred, selective upgrades to existing roles reflect a flexible response to resource constraints</w:t>
      </w:r>
      <w:r w:rsidR="00D03036" w:rsidRPr="007A5C5F">
        <w:rPr>
          <w:rStyle w:val="FootnoteReference"/>
          <w:sz w:val="22"/>
          <w:szCs w:val="22"/>
          <w:lang w:val="en-GB"/>
        </w:rPr>
        <w:footnoteReference w:id="62"/>
      </w:r>
      <w:r w:rsidRPr="007A5C5F">
        <w:rPr>
          <w:sz w:val="22"/>
          <w:szCs w:val="22"/>
          <w:lang w:val="en-GB"/>
        </w:rPr>
        <w:t>.</w:t>
      </w:r>
    </w:p>
    <w:p w14:paraId="609FDB89" w14:textId="79590620" w:rsidR="00840A16" w:rsidRPr="007A5C5F" w:rsidRDefault="00840A16" w:rsidP="00840A16">
      <w:pPr>
        <w:pStyle w:val="ListParagraph"/>
        <w:numPr>
          <w:ilvl w:val="0"/>
          <w:numId w:val="49"/>
        </w:numPr>
        <w:adjustRightInd/>
        <w:snapToGrid/>
        <w:spacing w:after="0"/>
        <w:jc w:val="both"/>
        <w:rPr>
          <w:sz w:val="22"/>
          <w:szCs w:val="22"/>
          <w:lang w:val="en-GB"/>
        </w:rPr>
      </w:pPr>
      <w:r w:rsidRPr="007A5C5F">
        <w:rPr>
          <w:b/>
          <w:bCs/>
          <w:sz w:val="22"/>
          <w:szCs w:val="22"/>
          <w:lang w:val="en-GB"/>
        </w:rPr>
        <w:t>Shift Towards a Results-Based Approach.</w:t>
      </w:r>
      <w:r w:rsidRPr="007A5C5F">
        <w:rPr>
          <w:sz w:val="22"/>
          <w:szCs w:val="22"/>
          <w:lang w:val="en-GB"/>
        </w:rPr>
        <w:t xml:space="preserve"> The adoption of a results-oriented framework in the 2024 workplan is evident in its clear targets, timelines, and collaborative focus. This strategic shift addresses the ROM recommendation to complement the demand-driven approach and emphasizes people-</w:t>
      </w:r>
      <w:r w:rsidR="007A5C5F" w:rsidRPr="007A5C5F">
        <w:rPr>
          <w:sz w:val="22"/>
          <w:szCs w:val="22"/>
          <w:lang w:val="en-GB"/>
        </w:rPr>
        <w:t>centred</w:t>
      </w:r>
      <w:r w:rsidRPr="007A5C5F">
        <w:rPr>
          <w:sz w:val="22"/>
          <w:szCs w:val="22"/>
          <w:lang w:val="en-GB"/>
        </w:rPr>
        <w:t xml:space="preserve"> justice. The inclusion of child-friendly justice services and feasibility studies for transformative models such as foster care and diversion programs represents a significant alignment with this directive</w:t>
      </w:r>
      <w:r w:rsidR="00D03036" w:rsidRPr="007A5C5F">
        <w:rPr>
          <w:rStyle w:val="FootnoteReference"/>
          <w:sz w:val="22"/>
          <w:szCs w:val="22"/>
          <w:lang w:val="en-GB"/>
        </w:rPr>
        <w:footnoteReference w:id="63"/>
      </w:r>
      <w:r w:rsidRPr="007A5C5F">
        <w:rPr>
          <w:sz w:val="22"/>
          <w:szCs w:val="22"/>
          <w:lang w:val="en-GB"/>
        </w:rPr>
        <w:t>.</w:t>
      </w:r>
    </w:p>
    <w:p w14:paraId="334C51CB" w14:textId="7C631999" w:rsidR="00840A16" w:rsidRPr="007A5C5F" w:rsidRDefault="00840A16" w:rsidP="00840A16">
      <w:pPr>
        <w:pStyle w:val="ListParagraph"/>
        <w:numPr>
          <w:ilvl w:val="0"/>
          <w:numId w:val="49"/>
        </w:numPr>
        <w:adjustRightInd/>
        <w:snapToGrid/>
        <w:spacing w:after="0"/>
        <w:jc w:val="both"/>
        <w:rPr>
          <w:sz w:val="22"/>
          <w:szCs w:val="22"/>
          <w:lang w:val="en-GB"/>
        </w:rPr>
      </w:pPr>
      <w:r w:rsidRPr="007A5C5F">
        <w:rPr>
          <w:b/>
          <w:bCs/>
          <w:sz w:val="22"/>
          <w:szCs w:val="22"/>
          <w:lang w:val="en-GB"/>
        </w:rPr>
        <w:lastRenderedPageBreak/>
        <w:t>Gender Mainstreaming.</w:t>
      </w:r>
      <w:r w:rsidRPr="007A5C5F">
        <w:rPr>
          <w:sz w:val="22"/>
          <w:szCs w:val="22"/>
          <w:lang w:val="en-GB"/>
        </w:rPr>
        <w:t xml:space="preserve"> The project has demonstrated adaptability by embedding gender-sensitive initiatives in the 2024 workplan. Notable efforts include a gender capacity assessment for justice institutions and the development of a roadmap to enhance access to justice for vulnerable groups, including LGBTIQ+ individuals</w:t>
      </w:r>
      <w:r w:rsidR="00D03036" w:rsidRPr="007A5C5F">
        <w:rPr>
          <w:rStyle w:val="FootnoteReference"/>
          <w:sz w:val="22"/>
          <w:szCs w:val="22"/>
          <w:lang w:val="en-GB"/>
        </w:rPr>
        <w:footnoteReference w:id="64"/>
      </w:r>
      <w:r w:rsidRPr="007A5C5F">
        <w:rPr>
          <w:sz w:val="22"/>
          <w:szCs w:val="22"/>
          <w:lang w:val="en-GB"/>
        </w:rPr>
        <w:t>. These steps align with the ROM recommendation to fully implement the Gender Action Plan and ensure transformative gender actions.</w:t>
      </w:r>
    </w:p>
    <w:p w14:paraId="454059EE" w14:textId="6F01D7D5" w:rsidR="00840A16" w:rsidRPr="007A5C5F" w:rsidRDefault="00840A16" w:rsidP="00D03036">
      <w:pPr>
        <w:pStyle w:val="ListParagraph"/>
        <w:numPr>
          <w:ilvl w:val="0"/>
          <w:numId w:val="49"/>
        </w:numPr>
        <w:adjustRightInd/>
        <w:snapToGrid/>
        <w:spacing w:after="0"/>
        <w:jc w:val="both"/>
        <w:rPr>
          <w:sz w:val="22"/>
          <w:szCs w:val="22"/>
          <w:lang w:val="en-GB"/>
        </w:rPr>
      </w:pPr>
      <w:r w:rsidRPr="007A5C5F">
        <w:rPr>
          <w:b/>
          <w:bCs/>
          <w:sz w:val="22"/>
          <w:szCs w:val="22"/>
          <w:lang w:val="en-GB"/>
        </w:rPr>
        <w:t>Strengthened Monitoring and Evaluation Framework</w:t>
      </w:r>
      <w:r w:rsidRPr="007A5C5F">
        <w:rPr>
          <w:sz w:val="22"/>
          <w:szCs w:val="22"/>
          <w:lang w:val="en-GB"/>
        </w:rPr>
        <w:t xml:space="preserve">. In response to the recommendation to revise </w:t>
      </w:r>
      <w:r w:rsidR="009C2EF1" w:rsidRPr="007A5C5F">
        <w:rPr>
          <w:sz w:val="22"/>
          <w:szCs w:val="22"/>
          <w:lang w:val="en-GB"/>
        </w:rPr>
        <w:t>Logframe</w:t>
      </w:r>
      <w:r w:rsidRPr="007A5C5F">
        <w:rPr>
          <w:sz w:val="22"/>
          <w:szCs w:val="22"/>
          <w:lang w:val="en-GB"/>
        </w:rPr>
        <w:t xml:space="preserve"> indicators, UNDP and UNICEF have collaborated with an RBM expert and the UNDP regional office to enhance the Monitoring, Evaluation, and Learning (MEL) framework</w:t>
      </w:r>
      <w:r w:rsidR="00153DBE" w:rsidRPr="007A5C5F">
        <w:rPr>
          <w:rStyle w:val="FootnoteReference"/>
          <w:sz w:val="22"/>
          <w:szCs w:val="22"/>
          <w:lang w:val="en-GB"/>
        </w:rPr>
        <w:footnoteReference w:id="65"/>
      </w:r>
      <w:r w:rsidRPr="007A5C5F">
        <w:rPr>
          <w:sz w:val="22"/>
          <w:szCs w:val="22"/>
          <w:lang w:val="en-GB"/>
        </w:rPr>
        <w:t>.</w:t>
      </w:r>
      <w:r w:rsidR="00D03036" w:rsidRPr="007A5C5F">
        <w:rPr>
          <w:lang w:val="en-GB"/>
        </w:rPr>
        <w:t xml:space="preserve"> </w:t>
      </w:r>
      <w:r w:rsidR="00153DBE" w:rsidRPr="007A5C5F">
        <w:rPr>
          <w:sz w:val="22"/>
          <w:szCs w:val="22"/>
          <w:lang w:val="en-GB"/>
        </w:rPr>
        <w:t>However, the revision was undertaken prior to the current Mid-Term Evaluation (MTE), contrary to the recommendation of the ROM expert. To</w:t>
      </w:r>
      <w:r w:rsidR="00D03036" w:rsidRPr="007A5C5F">
        <w:rPr>
          <w:sz w:val="22"/>
          <w:szCs w:val="22"/>
          <w:lang w:val="en-GB"/>
        </w:rPr>
        <w:t xml:space="preserve"> this end, the Logical Framework (LF) was revised once again during the current Mid-Term Evaluation (MTE) to address areas that required further adjustment. </w:t>
      </w:r>
    </w:p>
    <w:p w14:paraId="649F6D2A" w14:textId="5FC2CE27" w:rsidR="00840A16" w:rsidRPr="007A5C5F" w:rsidRDefault="00840A16" w:rsidP="00840A16">
      <w:pPr>
        <w:pStyle w:val="ListParagraph"/>
        <w:numPr>
          <w:ilvl w:val="0"/>
          <w:numId w:val="49"/>
        </w:numPr>
        <w:adjustRightInd/>
        <w:snapToGrid/>
        <w:spacing w:after="0"/>
        <w:jc w:val="both"/>
        <w:rPr>
          <w:sz w:val="22"/>
          <w:szCs w:val="22"/>
          <w:lang w:val="en-GB"/>
        </w:rPr>
      </w:pPr>
      <w:r w:rsidRPr="007A5C5F">
        <w:rPr>
          <w:b/>
          <w:bCs/>
          <w:sz w:val="22"/>
          <w:szCs w:val="22"/>
          <w:lang w:val="en-GB"/>
        </w:rPr>
        <w:t xml:space="preserve">Enhanced Civil Society </w:t>
      </w:r>
      <w:r w:rsidR="009E2B5C" w:rsidRPr="007A5C5F">
        <w:rPr>
          <w:b/>
          <w:bCs/>
          <w:sz w:val="22"/>
          <w:szCs w:val="22"/>
          <w:lang w:val="en-GB"/>
        </w:rPr>
        <w:t>Engagement</w:t>
      </w:r>
      <w:r w:rsidR="009E2B5C" w:rsidRPr="007A5C5F">
        <w:rPr>
          <w:sz w:val="22"/>
          <w:szCs w:val="22"/>
          <w:lang w:val="en-GB"/>
        </w:rPr>
        <w:t>. The</w:t>
      </w:r>
      <w:r w:rsidRPr="007A5C5F">
        <w:rPr>
          <w:sz w:val="22"/>
          <w:szCs w:val="22"/>
          <w:lang w:val="en-GB"/>
        </w:rPr>
        <w:t xml:space="preserve"> project has incorporated increased civil society participation into the 2024 workplan and multi-year plans, aligning with the recommendation to follow the Open Justice model. </w:t>
      </w:r>
    </w:p>
    <w:p w14:paraId="49324365" w14:textId="514A2CDE" w:rsidR="00840A16" w:rsidRPr="007A5C5F" w:rsidRDefault="00840A16" w:rsidP="00840A16">
      <w:pPr>
        <w:pStyle w:val="ListParagraph"/>
        <w:numPr>
          <w:ilvl w:val="0"/>
          <w:numId w:val="49"/>
        </w:numPr>
        <w:adjustRightInd/>
        <w:snapToGrid/>
        <w:spacing w:after="0"/>
        <w:jc w:val="both"/>
        <w:rPr>
          <w:sz w:val="22"/>
          <w:szCs w:val="22"/>
          <w:lang w:val="en-GB"/>
        </w:rPr>
      </w:pPr>
      <w:r w:rsidRPr="007A5C5F">
        <w:rPr>
          <w:b/>
          <w:bCs/>
          <w:sz w:val="22"/>
          <w:szCs w:val="22"/>
          <w:lang w:val="en-GB"/>
        </w:rPr>
        <w:t>Focused Policy Engagement and Advocacy</w:t>
      </w:r>
      <w:r w:rsidRPr="007A5C5F">
        <w:rPr>
          <w:sz w:val="22"/>
          <w:szCs w:val="22"/>
          <w:lang w:val="en-GB"/>
        </w:rPr>
        <w:t>. The project has shown prudence in its policy-related interventions, particularly by ensuring explicit commitment from stakeholders before advancing efforts such as ADR policy development. This cautious yet strategic approach is consistent with the ROM guidance to secure incumbent buy-in.</w:t>
      </w:r>
    </w:p>
    <w:p w14:paraId="7A364CFB" w14:textId="27391B18" w:rsidR="00840A16" w:rsidRPr="007A5C5F" w:rsidRDefault="00840A16" w:rsidP="00840A16">
      <w:pPr>
        <w:pStyle w:val="ListParagraph"/>
        <w:numPr>
          <w:ilvl w:val="0"/>
          <w:numId w:val="49"/>
        </w:numPr>
        <w:adjustRightInd/>
        <w:snapToGrid/>
        <w:spacing w:after="0"/>
        <w:jc w:val="both"/>
        <w:rPr>
          <w:sz w:val="22"/>
          <w:szCs w:val="22"/>
          <w:lang w:val="en-GB"/>
        </w:rPr>
      </w:pPr>
      <w:r w:rsidRPr="007A5C5F">
        <w:rPr>
          <w:b/>
          <w:bCs/>
          <w:sz w:val="22"/>
          <w:szCs w:val="22"/>
          <w:lang w:val="en-GB"/>
        </w:rPr>
        <w:t>Promotion of Transparency and Open Data</w:t>
      </w:r>
      <w:r w:rsidRPr="007A5C5F">
        <w:rPr>
          <w:sz w:val="22"/>
          <w:szCs w:val="22"/>
          <w:lang w:val="en-GB"/>
        </w:rPr>
        <w:t xml:space="preserve">. Adaptive steps have been taken to introduce an open data model, including the development of publicly accessible justice sector dashboards. </w:t>
      </w:r>
    </w:p>
    <w:p w14:paraId="22514110" w14:textId="4615454E" w:rsidR="00840A16" w:rsidRPr="007A5C5F" w:rsidRDefault="00840A16" w:rsidP="00840A16">
      <w:pPr>
        <w:pStyle w:val="ListParagraph"/>
        <w:numPr>
          <w:ilvl w:val="0"/>
          <w:numId w:val="49"/>
        </w:numPr>
        <w:adjustRightInd/>
        <w:snapToGrid/>
        <w:spacing w:after="0"/>
        <w:jc w:val="both"/>
        <w:rPr>
          <w:sz w:val="22"/>
          <w:szCs w:val="22"/>
          <w:lang w:val="en-GB"/>
        </w:rPr>
      </w:pPr>
      <w:r w:rsidRPr="007A5C5F">
        <w:rPr>
          <w:b/>
          <w:bCs/>
          <w:sz w:val="22"/>
          <w:szCs w:val="22"/>
          <w:lang w:val="en-GB"/>
        </w:rPr>
        <w:t>Improved Communication Coordination</w:t>
      </w:r>
      <w:r w:rsidRPr="007A5C5F">
        <w:rPr>
          <w:sz w:val="22"/>
          <w:szCs w:val="22"/>
          <w:lang w:val="en-GB"/>
        </w:rPr>
        <w:t>. The appointment of a communications analyst in October 2024 has strengthened coordination with the EU Delegation’s communication team. This addresses the ROM recommendation to enhance communication strategies and alignment with EU priorities.</w:t>
      </w:r>
    </w:p>
    <w:p w14:paraId="06657813" w14:textId="56FA3693" w:rsidR="00840A16" w:rsidRPr="007A5C5F" w:rsidRDefault="00840A16" w:rsidP="00D03036">
      <w:pPr>
        <w:pStyle w:val="ListParagraph"/>
        <w:numPr>
          <w:ilvl w:val="0"/>
          <w:numId w:val="49"/>
        </w:numPr>
        <w:adjustRightInd/>
        <w:snapToGrid/>
        <w:spacing w:after="0"/>
        <w:jc w:val="both"/>
        <w:rPr>
          <w:sz w:val="22"/>
          <w:szCs w:val="22"/>
          <w:lang w:val="en-GB"/>
        </w:rPr>
      </w:pPr>
      <w:r w:rsidRPr="007A5C5F">
        <w:rPr>
          <w:b/>
          <w:bCs/>
          <w:sz w:val="22"/>
          <w:szCs w:val="22"/>
          <w:lang w:val="en-GB"/>
        </w:rPr>
        <w:t>Areas for Further Improvement.</w:t>
      </w:r>
      <w:r w:rsidRPr="007A5C5F">
        <w:rPr>
          <w:sz w:val="22"/>
          <w:szCs w:val="22"/>
          <w:lang w:val="en-GB"/>
        </w:rPr>
        <w:t xml:space="preserve"> Despite these adaptive efforts, certain challenges persist</w:t>
      </w:r>
      <w:r w:rsidR="00D03036" w:rsidRPr="007A5C5F">
        <w:rPr>
          <w:sz w:val="22"/>
          <w:szCs w:val="22"/>
          <w:lang w:val="en-GB"/>
        </w:rPr>
        <w:t xml:space="preserve">. </w:t>
      </w:r>
      <w:r w:rsidRPr="007A5C5F">
        <w:rPr>
          <w:sz w:val="22"/>
          <w:szCs w:val="22"/>
          <w:lang w:val="en-GB"/>
        </w:rPr>
        <w:t xml:space="preserve">While key recommendations have been addressed, delays in executing transformative activities and disbursing the third tranche remain areas of </w:t>
      </w:r>
      <w:r w:rsidR="00D03036" w:rsidRPr="007A5C5F">
        <w:rPr>
          <w:sz w:val="22"/>
          <w:szCs w:val="22"/>
          <w:lang w:val="en-GB"/>
        </w:rPr>
        <w:t>concern. The</w:t>
      </w:r>
      <w:r w:rsidRPr="007A5C5F">
        <w:rPr>
          <w:sz w:val="22"/>
          <w:szCs w:val="22"/>
          <w:lang w:val="en-GB"/>
        </w:rPr>
        <w:t xml:space="preserve"> lack of a formal staff restructuring process limits the project's ability to fully optimize human resources.</w:t>
      </w:r>
      <w:r w:rsidR="00E43561" w:rsidRPr="007A5C5F">
        <w:rPr>
          <w:sz w:val="22"/>
          <w:szCs w:val="22"/>
          <w:lang w:val="en-GB"/>
        </w:rPr>
        <w:t xml:space="preserve"> </w:t>
      </w:r>
      <w:r w:rsidRPr="007A5C5F">
        <w:rPr>
          <w:sz w:val="22"/>
          <w:szCs w:val="22"/>
          <w:lang w:val="en-GB"/>
        </w:rPr>
        <w:t>While feasibility studies are underway, translating these into concrete implementation requires accelerated action to ensure measurable impact.</w:t>
      </w:r>
    </w:p>
    <w:p w14:paraId="70115E75" w14:textId="1D36BB9B" w:rsidR="000E04F2" w:rsidRPr="007A5C5F" w:rsidRDefault="000E04F2" w:rsidP="000E04F2">
      <w:pPr>
        <w:pStyle w:val="ListParagraph"/>
        <w:numPr>
          <w:ilvl w:val="0"/>
          <w:numId w:val="49"/>
        </w:numPr>
        <w:adjustRightInd/>
        <w:snapToGrid/>
        <w:spacing w:after="0"/>
        <w:jc w:val="both"/>
        <w:rPr>
          <w:sz w:val="22"/>
          <w:szCs w:val="22"/>
          <w:lang w:val="en-GB"/>
        </w:rPr>
      </w:pPr>
      <w:r w:rsidRPr="007A5C5F">
        <w:rPr>
          <w:sz w:val="22"/>
          <w:szCs w:val="22"/>
          <w:lang w:val="en-GB"/>
        </w:rPr>
        <w:t xml:space="preserve">Stakeholders expressed mixed views regarding the </w:t>
      </w:r>
      <w:r w:rsidR="007A5C5F" w:rsidRPr="007A5C5F">
        <w:rPr>
          <w:sz w:val="22"/>
          <w:szCs w:val="22"/>
          <w:lang w:val="en-GB"/>
        </w:rPr>
        <w:t>calibre</w:t>
      </w:r>
      <w:r w:rsidRPr="007A5C5F">
        <w:rPr>
          <w:sz w:val="22"/>
          <w:szCs w:val="22"/>
          <w:lang w:val="en-GB"/>
        </w:rPr>
        <w:t xml:space="preserve"> and level of subject-matter expertise provided by JURE. While the technical assistance was generally appreciated, national partners emphasized the need for higher-level expertise to address the complexity of the issues at hand effectively. Many stakeholders specifically requested that </w:t>
      </w:r>
      <w:r w:rsidRPr="007A5C5F">
        <w:rPr>
          <w:b/>
          <w:bCs/>
          <w:sz w:val="22"/>
          <w:szCs w:val="22"/>
          <w:lang w:val="en-GB"/>
        </w:rPr>
        <w:t>future technical support be delivered through more senior-level experts with advanced knowledge and experience in the relevant fields.</w:t>
      </w:r>
      <w:r w:rsidRPr="007A5C5F">
        <w:rPr>
          <w:sz w:val="22"/>
          <w:szCs w:val="22"/>
          <w:lang w:val="en-GB"/>
        </w:rPr>
        <w:t xml:space="preserve"> This, they argued, would ensure a deeper and more nuanced understanding of the challenges and opportunities within the justice sector</w:t>
      </w:r>
      <w:r w:rsidRPr="007A5C5F">
        <w:rPr>
          <w:rStyle w:val="FootnoteReference"/>
          <w:sz w:val="22"/>
          <w:szCs w:val="22"/>
          <w:lang w:val="en-GB"/>
        </w:rPr>
        <w:footnoteReference w:id="66"/>
      </w:r>
      <w:r w:rsidRPr="007A5C5F">
        <w:rPr>
          <w:sz w:val="22"/>
          <w:szCs w:val="22"/>
          <w:lang w:val="en-GB"/>
        </w:rPr>
        <w:t>.</w:t>
      </w:r>
    </w:p>
    <w:p w14:paraId="656190CF" w14:textId="77777777" w:rsidR="000E04F2" w:rsidRPr="007A5C5F" w:rsidRDefault="000E04F2" w:rsidP="000E04F2">
      <w:pPr>
        <w:pStyle w:val="ListParagraph"/>
        <w:numPr>
          <w:ilvl w:val="0"/>
          <w:numId w:val="49"/>
        </w:numPr>
        <w:adjustRightInd/>
        <w:snapToGrid/>
        <w:spacing w:after="0"/>
        <w:jc w:val="both"/>
        <w:rPr>
          <w:sz w:val="22"/>
          <w:szCs w:val="22"/>
          <w:lang w:val="en-GB"/>
        </w:rPr>
      </w:pPr>
      <w:r w:rsidRPr="007A5C5F">
        <w:rPr>
          <w:sz w:val="22"/>
          <w:szCs w:val="22"/>
          <w:lang w:val="en-GB"/>
        </w:rPr>
        <w:t>Furthermore, stakeholders highlighted the need to e</w:t>
      </w:r>
      <w:r w:rsidRPr="007A5C5F">
        <w:rPr>
          <w:b/>
          <w:bCs/>
          <w:sz w:val="22"/>
          <w:szCs w:val="22"/>
          <w:lang w:val="en-GB"/>
        </w:rPr>
        <w:t>nhance the quality and utility of analytical papers and studies produced</w:t>
      </w:r>
      <w:r w:rsidRPr="007A5C5F">
        <w:rPr>
          <w:sz w:val="22"/>
          <w:szCs w:val="22"/>
          <w:lang w:val="en-GB"/>
        </w:rPr>
        <w:t xml:space="preserve"> in collaboration with national partners. They emphasized the importance of </w:t>
      </w:r>
      <w:r w:rsidRPr="007A5C5F">
        <w:rPr>
          <w:b/>
          <w:bCs/>
          <w:sz w:val="22"/>
          <w:szCs w:val="22"/>
          <w:lang w:val="en-GB"/>
        </w:rPr>
        <w:t>establishing a robust peer review process for these deliverables</w:t>
      </w:r>
      <w:r w:rsidRPr="007A5C5F">
        <w:rPr>
          <w:sz w:val="22"/>
          <w:szCs w:val="22"/>
          <w:lang w:val="en-GB"/>
        </w:rPr>
        <w:t xml:space="preserve">. </w:t>
      </w:r>
    </w:p>
    <w:p w14:paraId="71510B1E" w14:textId="2A8251AB" w:rsidR="00275378" w:rsidRPr="007A5C5F" w:rsidRDefault="000E04F2" w:rsidP="00275378">
      <w:pPr>
        <w:pStyle w:val="ListParagraph"/>
        <w:numPr>
          <w:ilvl w:val="0"/>
          <w:numId w:val="49"/>
        </w:numPr>
        <w:adjustRightInd/>
        <w:snapToGrid/>
        <w:spacing w:after="0"/>
        <w:jc w:val="both"/>
        <w:rPr>
          <w:sz w:val="22"/>
          <w:szCs w:val="22"/>
          <w:lang w:val="en-GB"/>
        </w:rPr>
      </w:pPr>
      <w:r w:rsidRPr="007A5C5F">
        <w:rPr>
          <w:sz w:val="22"/>
          <w:szCs w:val="22"/>
          <w:lang w:val="en-GB"/>
        </w:rPr>
        <w:t xml:space="preserve">In response, the project management team acknowledged the </w:t>
      </w:r>
      <w:r w:rsidRPr="007A5C5F">
        <w:rPr>
          <w:b/>
          <w:bCs/>
          <w:sz w:val="22"/>
          <w:szCs w:val="22"/>
          <w:lang w:val="en-GB"/>
        </w:rPr>
        <w:t>challenges in procuring high-</w:t>
      </w:r>
      <w:r w:rsidR="007A5C5F" w:rsidRPr="007A5C5F">
        <w:rPr>
          <w:b/>
          <w:bCs/>
          <w:sz w:val="22"/>
          <w:szCs w:val="22"/>
          <w:lang w:val="en-GB"/>
        </w:rPr>
        <w:t>calibre</w:t>
      </w:r>
      <w:r w:rsidRPr="007A5C5F">
        <w:rPr>
          <w:b/>
          <w:bCs/>
          <w:sz w:val="22"/>
          <w:szCs w:val="22"/>
          <w:lang w:val="en-GB"/>
        </w:rPr>
        <w:t xml:space="preserve"> experts locally. </w:t>
      </w:r>
      <w:r w:rsidRPr="007A5C5F">
        <w:rPr>
          <w:sz w:val="22"/>
          <w:szCs w:val="22"/>
          <w:lang w:val="en-GB"/>
        </w:rPr>
        <w:t xml:space="preserve">They highlighted that the project's </w:t>
      </w:r>
      <w:r w:rsidRPr="007A5C5F">
        <w:rPr>
          <w:b/>
          <w:bCs/>
          <w:sz w:val="22"/>
          <w:szCs w:val="22"/>
          <w:lang w:val="en-GB"/>
        </w:rPr>
        <w:t>salary scales are not always competitive with the local market,</w:t>
      </w:r>
      <w:r w:rsidRPr="007A5C5F">
        <w:rPr>
          <w:sz w:val="22"/>
          <w:szCs w:val="22"/>
          <w:lang w:val="en-GB"/>
        </w:rPr>
        <w:t xml:space="preserve"> which limits the ability to attract and retain experts with the desired level of expertise. This structural challenge constrains the program's capacity to meet stakeholder expectations for more senior-level technical support and to fully align with national partners' needs for advanced capacity-building and high-quality deliverables</w:t>
      </w:r>
      <w:r w:rsidRPr="007A5C5F">
        <w:rPr>
          <w:rStyle w:val="FootnoteReference"/>
          <w:sz w:val="22"/>
          <w:szCs w:val="22"/>
          <w:lang w:val="en-GB"/>
        </w:rPr>
        <w:footnoteReference w:id="67"/>
      </w:r>
      <w:r w:rsidRPr="007A5C5F">
        <w:rPr>
          <w:sz w:val="22"/>
          <w:szCs w:val="22"/>
          <w:lang w:val="en-GB"/>
        </w:rPr>
        <w:t>.</w:t>
      </w:r>
    </w:p>
    <w:p w14:paraId="74E22D44" w14:textId="42D9EDB7" w:rsidR="00275378" w:rsidRPr="007A5C5F" w:rsidRDefault="00275378" w:rsidP="00AD0F94">
      <w:pPr>
        <w:pStyle w:val="ListParagraph"/>
        <w:numPr>
          <w:ilvl w:val="0"/>
          <w:numId w:val="49"/>
        </w:numPr>
        <w:adjustRightInd/>
        <w:snapToGrid/>
        <w:spacing w:after="0"/>
        <w:jc w:val="both"/>
        <w:rPr>
          <w:b/>
          <w:bCs/>
          <w:sz w:val="22"/>
          <w:szCs w:val="22"/>
          <w:lang w:val="en-GB"/>
        </w:rPr>
      </w:pPr>
      <w:r w:rsidRPr="007A5C5F">
        <w:rPr>
          <w:b/>
          <w:bCs/>
          <w:sz w:val="22"/>
          <w:szCs w:val="22"/>
          <w:lang w:val="en-GB"/>
        </w:rPr>
        <w:t>Finding</w:t>
      </w:r>
      <w:r w:rsidR="009E2B5C" w:rsidRPr="007A5C5F">
        <w:rPr>
          <w:b/>
          <w:bCs/>
          <w:sz w:val="22"/>
          <w:szCs w:val="22"/>
          <w:lang w:val="en-GB"/>
        </w:rPr>
        <w:t xml:space="preserve"> </w:t>
      </w:r>
      <w:r w:rsidR="00355BD2" w:rsidRPr="007A5C5F">
        <w:rPr>
          <w:b/>
          <w:bCs/>
          <w:sz w:val="22"/>
          <w:szCs w:val="22"/>
          <w:lang w:val="en-GB"/>
        </w:rPr>
        <w:t>8</w:t>
      </w:r>
      <w:r w:rsidR="009E2B5C" w:rsidRPr="007A5C5F">
        <w:rPr>
          <w:b/>
          <w:bCs/>
          <w:sz w:val="22"/>
          <w:szCs w:val="22"/>
          <w:lang w:val="en-GB"/>
        </w:rPr>
        <w:t>.</w:t>
      </w:r>
      <w:r w:rsidRPr="007A5C5F">
        <w:rPr>
          <w:b/>
          <w:bCs/>
          <w:sz w:val="22"/>
          <w:szCs w:val="22"/>
          <w:lang w:val="en-GB"/>
        </w:rPr>
        <w:t xml:space="preserve"> The JURE progress monitoring system </w:t>
      </w:r>
      <w:r w:rsidR="009E2B5C" w:rsidRPr="007A5C5F">
        <w:rPr>
          <w:b/>
          <w:bCs/>
          <w:sz w:val="22"/>
          <w:szCs w:val="22"/>
          <w:lang w:val="en-GB"/>
        </w:rPr>
        <w:t>played</w:t>
      </w:r>
      <w:r w:rsidRPr="007A5C5F">
        <w:rPr>
          <w:b/>
          <w:bCs/>
          <w:sz w:val="22"/>
          <w:szCs w:val="22"/>
          <w:lang w:val="en-GB"/>
        </w:rPr>
        <w:t xml:space="preserve"> a strong foundation but required </w:t>
      </w:r>
      <w:r w:rsidR="009E2B5C" w:rsidRPr="007A5C5F">
        <w:rPr>
          <w:b/>
          <w:bCs/>
          <w:sz w:val="22"/>
          <w:szCs w:val="22"/>
          <w:lang w:val="en-GB"/>
        </w:rPr>
        <w:t>an enhanced</w:t>
      </w:r>
      <w:r w:rsidRPr="007A5C5F">
        <w:rPr>
          <w:b/>
          <w:bCs/>
          <w:sz w:val="22"/>
          <w:szCs w:val="22"/>
          <w:lang w:val="en-GB"/>
        </w:rPr>
        <w:t xml:space="preserve"> data collection</w:t>
      </w:r>
      <w:r w:rsidR="00CC4596" w:rsidRPr="007A5C5F">
        <w:rPr>
          <w:b/>
          <w:bCs/>
          <w:sz w:val="22"/>
          <w:szCs w:val="22"/>
          <w:lang w:val="en-GB"/>
        </w:rPr>
        <w:t xml:space="preserve"> mechanism across all project areas</w:t>
      </w:r>
      <w:r w:rsidRPr="007A5C5F">
        <w:rPr>
          <w:b/>
          <w:bCs/>
          <w:sz w:val="22"/>
          <w:szCs w:val="22"/>
          <w:lang w:val="en-GB"/>
        </w:rPr>
        <w:t xml:space="preserve">, complete </w:t>
      </w:r>
      <w:r w:rsidR="009C2EF1" w:rsidRPr="007A5C5F">
        <w:rPr>
          <w:b/>
          <w:bCs/>
          <w:sz w:val="22"/>
          <w:szCs w:val="22"/>
          <w:lang w:val="en-GB"/>
        </w:rPr>
        <w:t>Logframe</w:t>
      </w:r>
      <w:r w:rsidRPr="007A5C5F">
        <w:rPr>
          <w:b/>
          <w:bCs/>
          <w:sz w:val="22"/>
          <w:szCs w:val="22"/>
          <w:lang w:val="en-GB"/>
        </w:rPr>
        <w:t xml:space="preserve"> baselines, calibrated indicators for </w:t>
      </w:r>
      <w:r w:rsidR="00597CD7">
        <w:rPr>
          <w:b/>
          <w:bCs/>
          <w:sz w:val="22"/>
          <w:szCs w:val="22"/>
          <w:lang w:val="en-GB"/>
        </w:rPr>
        <w:t>result-oriented</w:t>
      </w:r>
      <w:r w:rsidRPr="007A5C5F">
        <w:rPr>
          <w:b/>
          <w:bCs/>
          <w:sz w:val="22"/>
          <w:szCs w:val="22"/>
          <w:lang w:val="en-GB"/>
        </w:rPr>
        <w:t xml:space="preserve"> monitoring and effective evaluation.</w:t>
      </w:r>
    </w:p>
    <w:p w14:paraId="2A2B960C" w14:textId="5D608437" w:rsidR="00275378" w:rsidRPr="007A5C5F" w:rsidRDefault="00275378" w:rsidP="00AD0F94">
      <w:pPr>
        <w:pStyle w:val="ListParagraph"/>
        <w:numPr>
          <w:ilvl w:val="0"/>
          <w:numId w:val="49"/>
        </w:numPr>
        <w:spacing w:after="0"/>
        <w:jc w:val="both"/>
        <w:rPr>
          <w:sz w:val="22"/>
          <w:szCs w:val="22"/>
          <w:lang w:val="en-GB"/>
        </w:rPr>
      </w:pPr>
      <w:r w:rsidRPr="007A5C5F">
        <w:rPr>
          <w:sz w:val="22"/>
          <w:szCs w:val="22"/>
          <w:lang w:val="en-GB"/>
        </w:rPr>
        <w:t xml:space="preserve">The JURE project utilized a comprehensive progress monitoring system guided by the principles of Results-Based Management (RBM). At the beginning of the project, a Monitoring, Evaluation, and </w:t>
      </w:r>
      <w:r w:rsidRPr="007A5C5F">
        <w:rPr>
          <w:sz w:val="22"/>
          <w:szCs w:val="22"/>
          <w:lang w:val="en-GB"/>
        </w:rPr>
        <w:lastRenderedPageBreak/>
        <w:t xml:space="preserve">Learning (MEL) expert supported the implementation of the system, conducting introductory sessions on RBM for all partners to ensure a shared understanding of its methodology. The monitoring framework incorporated a range of tools and templates, such as the Quarterly Reporting Template (J/ME/01) and the Completion Report Outline (J/ME/02), to track progress effectively. A sample of participants feedback report on infrastructure assessment training demonstrates that data was </w:t>
      </w:r>
      <w:r w:rsidR="00CC4596" w:rsidRPr="007A5C5F">
        <w:rPr>
          <w:sz w:val="22"/>
          <w:szCs w:val="22"/>
          <w:lang w:val="en-GB"/>
        </w:rPr>
        <w:t xml:space="preserve">collected </w:t>
      </w:r>
      <w:r w:rsidR="007A5C5F" w:rsidRPr="007A5C5F">
        <w:rPr>
          <w:sz w:val="22"/>
          <w:szCs w:val="22"/>
          <w:lang w:val="en-GB"/>
        </w:rPr>
        <w:t>through</w:t>
      </w:r>
      <w:r w:rsidRPr="007A5C5F">
        <w:rPr>
          <w:sz w:val="22"/>
          <w:szCs w:val="22"/>
          <w:lang w:val="en-GB"/>
        </w:rPr>
        <w:t xml:space="preserve"> the survey and </w:t>
      </w:r>
      <w:r w:rsidR="009E2B5C" w:rsidRPr="007A5C5F">
        <w:rPr>
          <w:sz w:val="22"/>
          <w:szCs w:val="22"/>
          <w:lang w:val="en-GB"/>
        </w:rPr>
        <w:t>questionnaires</w:t>
      </w:r>
      <w:r w:rsidRPr="007A5C5F">
        <w:rPr>
          <w:sz w:val="22"/>
          <w:szCs w:val="22"/>
          <w:lang w:val="en-GB"/>
        </w:rPr>
        <w:t xml:space="preserve"> developed for the </w:t>
      </w:r>
      <w:r w:rsidR="009E2B5C" w:rsidRPr="007A5C5F">
        <w:rPr>
          <w:sz w:val="22"/>
          <w:szCs w:val="22"/>
          <w:lang w:val="en-GB"/>
        </w:rPr>
        <w:t>beneficiaries</w:t>
      </w:r>
      <w:r w:rsidRPr="007A5C5F">
        <w:rPr>
          <w:sz w:val="22"/>
          <w:szCs w:val="22"/>
          <w:lang w:val="en-GB"/>
        </w:rPr>
        <w:t>.</w:t>
      </w:r>
    </w:p>
    <w:p w14:paraId="504F26B5" w14:textId="4FB497A7" w:rsidR="00275378" w:rsidRPr="007A5C5F" w:rsidRDefault="00275378" w:rsidP="00AD0F94">
      <w:pPr>
        <w:pStyle w:val="ListParagraph"/>
        <w:numPr>
          <w:ilvl w:val="0"/>
          <w:numId w:val="49"/>
        </w:numPr>
        <w:adjustRightInd/>
        <w:snapToGrid/>
        <w:spacing w:after="0"/>
        <w:jc w:val="both"/>
        <w:rPr>
          <w:sz w:val="22"/>
          <w:szCs w:val="22"/>
          <w:lang w:val="en-GB"/>
        </w:rPr>
      </w:pPr>
      <w:r w:rsidRPr="007A5C5F">
        <w:rPr>
          <w:sz w:val="22"/>
          <w:szCs w:val="22"/>
          <w:lang w:val="en-GB"/>
        </w:rPr>
        <w:t xml:space="preserve">While these tools were developed, distributed, and supported by training sessions for partners, the monitoring system required further strengthening to achieve its full potential. The collection of relevant data against SMART indicators (Specific, Measurable, Attainable, Relevant, and Time-bound) emerged as a key area for improvement. Despite the tools in place, gaps in data collection limited the system's ability to comprehensively measure progress. Furthermore, the project’s </w:t>
      </w:r>
      <w:r w:rsidR="009C2EF1" w:rsidRPr="007A5C5F">
        <w:rPr>
          <w:sz w:val="22"/>
          <w:szCs w:val="22"/>
          <w:lang w:val="en-GB"/>
        </w:rPr>
        <w:t>Logframe</w:t>
      </w:r>
      <w:r w:rsidRPr="007A5C5F">
        <w:rPr>
          <w:sz w:val="22"/>
          <w:szCs w:val="22"/>
          <w:lang w:val="en-GB"/>
        </w:rPr>
        <w:t xml:space="preserve"> lacked baseline data and clearly defined targets in some areas, which made it challenging to evaluate progress against initial expectations.</w:t>
      </w:r>
    </w:p>
    <w:p w14:paraId="3F533E12" w14:textId="4A30751B" w:rsidR="00275378" w:rsidRPr="007A5C5F" w:rsidRDefault="00275378" w:rsidP="00AD0F94">
      <w:pPr>
        <w:pStyle w:val="ListParagraph"/>
        <w:numPr>
          <w:ilvl w:val="0"/>
          <w:numId w:val="49"/>
        </w:numPr>
        <w:adjustRightInd/>
        <w:snapToGrid/>
        <w:spacing w:after="0"/>
        <w:jc w:val="both"/>
        <w:rPr>
          <w:sz w:val="22"/>
          <w:szCs w:val="22"/>
          <w:lang w:val="en-GB"/>
        </w:rPr>
      </w:pPr>
      <w:r w:rsidRPr="007A5C5F">
        <w:rPr>
          <w:sz w:val="22"/>
          <w:szCs w:val="22"/>
          <w:lang w:val="en-GB"/>
        </w:rPr>
        <w:t>Throughout the project, the system provided a structured approach for tracking progress across outputs, outcomes, and impacts. It included clear contractual obligations for partners, requiring quarterly progress and financial reports, as well as a final cumulative report summarizing achievements and resources utilized. However, the absence of critical baseline data and specific targets in certain areas of implementation undermined the ability to track results fully and align them with the intended outcomes.</w:t>
      </w:r>
    </w:p>
    <w:p w14:paraId="76786BE9" w14:textId="01EBBF71" w:rsidR="00275378" w:rsidRDefault="00275378" w:rsidP="00275378">
      <w:pPr>
        <w:pStyle w:val="ListParagraph"/>
        <w:numPr>
          <w:ilvl w:val="0"/>
          <w:numId w:val="49"/>
        </w:numPr>
        <w:adjustRightInd/>
        <w:snapToGrid/>
        <w:spacing w:after="0"/>
        <w:jc w:val="both"/>
        <w:rPr>
          <w:sz w:val="22"/>
          <w:szCs w:val="22"/>
          <w:lang w:val="en-GB"/>
        </w:rPr>
      </w:pPr>
      <w:r w:rsidRPr="007A5C5F">
        <w:rPr>
          <w:sz w:val="22"/>
          <w:szCs w:val="22"/>
          <w:lang w:val="en-GB"/>
        </w:rPr>
        <w:t xml:space="preserve">The initial support provided by the MEL expert was instrumental in setting up the system and building partner capacity, but ongoing efforts were needed to strengthen data collection processes and ensure alignment with the </w:t>
      </w:r>
      <w:r w:rsidR="007A5C5F" w:rsidRPr="007A5C5F">
        <w:rPr>
          <w:sz w:val="22"/>
          <w:szCs w:val="22"/>
          <w:lang w:val="en-GB"/>
        </w:rPr>
        <w:t>defined (</w:t>
      </w:r>
      <w:r w:rsidRPr="007A5C5F">
        <w:rPr>
          <w:sz w:val="22"/>
          <w:szCs w:val="22"/>
          <w:lang w:val="en-GB"/>
        </w:rPr>
        <w:t>Addressing these gaps would have enhanced the system’s capacity to measure progress, support decision-making, and ensure that JURE’s outcomes were accurately captured and sustained.</w:t>
      </w:r>
    </w:p>
    <w:p w14:paraId="6DD1456F" w14:textId="77777777" w:rsidR="007A5C5F" w:rsidRDefault="007A5C5F" w:rsidP="007A5C5F">
      <w:pPr>
        <w:jc w:val="both"/>
        <w:rPr>
          <w:sz w:val="22"/>
          <w:szCs w:val="22"/>
          <w:lang w:val="en-GB"/>
        </w:rPr>
      </w:pPr>
    </w:p>
    <w:p w14:paraId="400A71A7" w14:textId="35D77EDE" w:rsidR="007A5C5F" w:rsidRDefault="007A5C5F" w:rsidP="007A5C5F">
      <w:pPr>
        <w:pStyle w:val="Caption"/>
        <w:rPr>
          <w:sz w:val="22"/>
          <w:szCs w:val="22"/>
          <w:lang w:val="en-GB"/>
        </w:rPr>
      </w:pPr>
      <w:r>
        <w:rPr>
          <w:sz w:val="22"/>
          <w:szCs w:val="22"/>
          <w:lang w:val="en-GB"/>
        </w:rPr>
        <w:t xml:space="preserve">          </w:t>
      </w:r>
      <w:r>
        <w:t xml:space="preserve">Figure </w:t>
      </w:r>
      <w:r>
        <w:fldChar w:fldCharType="begin"/>
      </w:r>
      <w:r>
        <w:instrText xml:space="preserve"> SEQ Figure \* ARABIC </w:instrText>
      </w:r>
      <w:r>
        <w:fldChar w:fldCharType="separate"/>
      </w:r>
      <w:r w:rsidR="0095181E">
        <w:rPr>
          <w:noProof/>
        </w:rPr>
        <w:t>9</w:t>
      </w:r>
      <w:r>
        <w:fldChar w:fldCharType="end"/>
      </w:r>
      <w:r>
        <w:t xml:space="preserve">. </w:t>
      </w:r>
      <w:r w:rsidRPr="007A5C5F">
        <w:t>Stakeholders' Perspectives on JURE Implementation Challenges</w:t>
      </w:r>
      <w:r w:rsidR="003D17FD">
        <w:t xml:space="preserve"> </w:t>
      </w:r>
      <w:r w:rsidR="00597CD7">
        <w:t>(field</w:t>
      </w:r>
      <w:r w:rsidR="003D17FD">
        <w:t xml:space="preserve"> data collection).</w:t>
      </w:r>
    </w:p>
    <w:tbl>
      <w:tblPr>
        <w:tblStyle w:val="IESTable"/>
        <w:tblW w:w="0" w:type="auto"/>
        <w:tblInd w:w="421" w:type="dxa"/>
        <w:tblLook w:val="04A0" w:firstRow="1" w:lastRow="0" w:firstColumn="1" w:lastColumn="0" w:noHBand="0" w:noVBand="1"/>
      </w:tblPr>
      <w:tblGrid>
        <w:gridCol w:w="9159"/>
      </w:tblGrid>
      <w:tr w:rsidR="007A5C5F" w14:paraId="62C7A3BA" w14:textId="77777777" w:rsidTr="007A5C5F">
        <w:trPr>
          <w:cnfStyle w:val="100000000000" w:firstRow="1" w:lastRow="0" w:firstColumn="0" w:lastColumn="0" w:oddVBand="0" w:evenVBand="0" w:oddHBand="0" w:evenHBand="0" w:firstRowFirstColumn="0" w:firstRowLastColumn="0" w:lastRowFirstColumn="0" w:lastRowLastColumn="0"/>
        </w:trPr>
        <w:tc>
          <w:tcPr>
            <w:tcW w:w="9159" w:type="dxa"/>
            <w:shd w:val="clear" w:color="auto" w:fill="E7E6E6" w:themeFill="background2"/>
          </w:tcPr>
          <w:p w14:paraId="5EB06623" w14:textId="77777777" w:rsidR="007A5C5F" w:rsidRDefault="007A5C5F" w:rsidP="007A5C5F">
            <w:pPr>
              <w:jc w:val="both"/>
              <w:rPr>
                <w:szCs w:val="22"/>
              </w:rPr>
            </w:pPr>
          </w:p>
          <w:p w14:paraId="5C9BACFB" w14:textId="77777777" w:rsidR="007A5C5F" w:rsidRPr="00ED60BB" w:rsidRDefault="007A5C5F" w:rsidP="007A5C5F">
            <w:pPr>
              <w:numPr>
                <w:ilvl w:val="0"/>
                <w:numId w:val="282"/>
              </w:numPr>
              <w:rPr>
                <w:color w:val="000000" w:themeColor="text1"/>
                <w:sz w:val="20"/>
              </w:rPr>
            </w:pPr>
            <w:r w:rsidRPr="00ED60BB">
              <w:rPr>
                <w:b/>
                <w:bCs/>
                <w:color w:val="000000" w:themeColor="text1"/>
                <w:sz w:val="20"/>
              </w:rPr>
              <w:t>Resource Constraints</w:t>
            </w:r>
            <w:r w:rsidRPr="00ED60BB">
              <w:rPr>
                <w:color w:val="000000" w:themeColor="text1"/>
                <w:sz w:val="20"/>
              </w:rPr>
              <w:t>: Insufficient funding, delays and staffing impacting project implementation.</w:t>
            </w:r>
          </w:p>
          <w:p w14:paraId="5B480EE5" w14:textId="77777777" w:rsidR="007A5C5F" w:rsidRPr="00ED60BB" w:rsidRDefault="007A5C5F" w:rsidP="007A5C5F">
            <w:pPr>
              <w:numPr>
                <w:ilvl w:val="0"/>
                <w:numId w:val="282"/>
              </w:numPr>
              <w:rPr>
                <w:color w:val="000000" w:themeColor="text1"/>
                <w:sz w:val="20"/>
              </w:rPr>
            </w:pPr>
            <w:r w:rsidRPr="00ED60BB">
              <w:rPr>
                <w:b/>
                <w:bCs/>
                <w:color w:val="000000" w:themeColor="text1"/>
                <w:sz w:val="20"/>
              </w:rPr>
              <w:t>Systemic Issues</w:t>
            </w:r>
            <w:r w:rsidRPr="00ED60BB">
              <w:rPr>
                <w:color w:val="000000" w:themeColor="text1"/>
                <w:sz w:val="20"/>
              </w:rPr>
              <w:t>: Structural challenges within the justice sector hindering progress.</w:t>
            </w:r>
          </w:p>
          <w:p w14:paraId="76704EBD" w14:textId="77777777" w:rsidR="007A5C5F" w:rsidRPr="00ED60BB" w:rsidRDefault="007A5C5F" w:rsidP="007A5C5F">
            <w:pPr>
              <w:numPr>
                <w:ilvl w:val="0"/>
                <w:numId w:val="282"/>
              </w:numPr>
              <w:rPr>
                <w:color w:val="000000" w:themeColor="text1"/>
                <w:sz w:val="20"/>
              </w:rPr>
            </w:pPr>
            <w:r w:rsidRPr="00ED60BB">
              <w:rPr>
                <w:b/>
                <w:bCs/>
                <w:color w:val="000000" w:themeColor="text1"/>
                <w:sz w:val="20"/>
              </w:rPr>
              <w:t>Inadequate Monitoring and Evidence Gaps</w:t>
            </w:r>
            <w:r w:rsidRPr="00ED60BB">
              <w:rPr>
                <w:color w:val="000000" w:themeColor="text1"/>
                <w:sz w:val="20"/>
              </w:rPr>
              <w:t>: Limited results monitoring and insufficient evidence to support key outcomes.</w:t>
            </w:r>
          </w:p>
          <w:p w14:paraId="4D89A9E9" w14:textId="77777777" w:rsidR="007A5C5F" w:rsidRPr="00ED60BB" w:rsidRDefault="007A5C5F" w:rsidP="007A5C5F">
            <w:pPr>
              <w:numPr>
                <w:ilvl w:val="0"/>
                <w:numId w:val="282"/>
              </w:numPr>
              <w:rPr>
                <w:color w:val="000000" w:themeColor="text1"/>
                <w:sz w:val="20"/>
              </w:rPr>
            </w:pPr>
            <w:r w:rsidRPr="00ED60BB">
              <w:rPr>
                <w:b/>
                <w:bCs/>
                <w:color w:val="000000" w:themeColor="text1"/>
                <w:sz w:val="20"/>
              </w:rPr>
              <w:t>Weak Financial Management Documentation</w:t>
            </w:r>
            <w:r w:rsidRPr="00ED60BB">
              <w:rPr>
                <w:color w:val="000000" w:themeColor="text1"/>
                <w:sz w:val="20"/>
              </w:rPr>
              <w:t>: Lack of robust evidence for financial management practices.</w:t>
            </w:r>
          </w:p>
          <w:p w14:paraId="35483639" w14:textId="77777777" w:rsidR="007A5C5F" w:rsidRPr="00ED60BB" w:rsidRDefault="007A5C5F" w:rsidP="007A5C5F">
            <w:pPr>
              <w:numPr>
                <w:ilvl w:val="0"/>
                <w:numId w:val="282"/>
              </w:numPr>
              <w:rPr>
                <w:color w:val="000000" w:themeColor="text1"/>
                <w:sz w:val="20"/>
              </w:rPr>
            </w:pPr>
            <w:r w:rsidRPr="00ED60BB">
              <w:rPr>
                <w:b/>
                <w:bCs/>
                <w:color w:val="000000" w:themeColor="text1"/>
                <w:sz w:val="20"/>
              </w:rPr>
              <w:t>Limited Stakeholder Engagement</w:t>
            </w:r>
            <w:r w:rsidRPr="00ED60BB">
              <w:rPr>
                <w:color w:val="000000" w:themeColor="text1"/>
                <w:sz w:val="20"/>
              </w:rPr>
              <w:t>: Partners and communities need more participation during the planning stage.</w:t>
            </w:r>
          </w:p>
          <w:p w14:paraId="2E54F5BC" w14:textId="77777777" w:rsidR="007A5C5F" w:rsidRPr="00ED60BB" w:rsidRDefault="007A5C5F" w:rsidP="007A5C5F">
            <w:pPr>
              <w:numPr>
                <w:ilvl w:val="0"/>
                <w:numId w:val="282"/>
              </w:numPr>
              <w:rPr>
                <w:color w:val="000000" w:themeColor="text1"/>
                <w:sz w:val="20"/>
              </w:rPr>
            </w:pPr>
            <w:r w:rsidRPr="00ED60BB">
              <w:rPr>
                <w:b/>
                <w:bCs/>
                <w:color w:val="000000" w:themeColor="text1"/>
                <w:sz w:val="20"/>
              </w:rPr>
              <w:t>Gender Action Plan Implementation</w:t>
            </w:r>
            <w:r w:rsidRPr="00ED60BB">
              <w:rPr>
                <w:color w:val="000000" w:themeColor="text1"/>
                <w:sz w:val="20"/>
              </w:rPr>
              <w:t>: Lack of evidence demonstrating progress or results aligned with the Gender Action Plans.</w:t>
            </w:r>
          </w:p>
          <w:p w14:paraId="0C63FCA6" w14:textId="77777777" w:rsidR="007A5C5F" w:rsidRPr="00ED60BB" w:rsidRDefault="007A5C5F" w:rsidP="007A5C5F">
            <w:pPr>
              <w:numPr>
                <w:ilvl w:val="0"/>
                <w:numId w:val="282"/>
              </w:numPr>
              <w:rPr>
                <w:color w:val="000000" w:themeColor="text1"/>
                <w:sz w:val="20"/>
              </w:rPr>
            </w:pPr>
            <w:r w:rsidRPr="00ED60BB">
              <w:rPr>
                <w:b/>
                <w:bCs/>
                <w:color w:val="000000" w:themeColor="text1"/>
                <w:sz w:val="20"/>
              </w:rPr>
              <w:t>Monitoring Inconsistencies</w:t>
            </w:r>
            <w:r w:rsidRPr="00ED60BB">
              <w:rPr>
                <w:color w:val="000000" w:themeColor="text1"/>
                <w:sz w:val="20"/>
              </w:rPr>
              <w:t>: Gaps in monitoring efforts, particularly aligning with outcome objectives.</w:t>
            </w:r>
          </w:p>
          <w:p w14:paraId="72E02D7D" w14:textId="77777777" w:rsidR="007A5C5F" w:rsidRPr="00ED60BB" w:rsidRDefault="007A5C5F" w:rsidP="007A5C5F">
            <w:pPr>
              <w:numPr>
                <w:ilvl w:val="0"/>
                <w:numId w:val="282"/>
              </w:numPr>
              <w:rPr>
                <w:color w:val="000000" w:themeColor="text1"/>
                <w:sz w:val="20"/>
              </w:rPr>
            </w:pPr>
            <w:r w:rsidRPr="00ED60BB">
              <w:rPr>
                <w:b/>
                <w:bCs/>
                <w:color w:val="000000" w:themeColor="text1"/>
                <w:sz w:val="20"/>
              </w:rPr>
              <w:t>Coordination Challenges</w:t>
            </w:r>
            <w:r w:rsidRPr="00ED60BB">
              <w:rPr>
                <w:color w:val="000000" w:themeColor="text1"/>
                <w:sz w:val="20"/>
              </w:rPr>
              <w:t>: Limited interagency coordination and collaboration, reducing program synergies.</w:t>
            </w:r>
          </w:p>
          <w:p w14:paraId="1D3E15AA" w14:textId="77777777" w:rsidR="007A5C5F" w:rsidRPr="00ED60BB" w:rsidRDefault="007A5C5F" w:rsidP="007A5C5F">
            <w:pPr>
              <w:numPr>
                <w:ilvl w:val="0"/>
                <w:numId w:val="282"/>
              </w:numPr>
              <w:rPr>
                <w:color w:val="000000" w:themeColor="text1"/>
                <w:sz w:val="20"/>
              </w:rPr>
            </w:pPr>
            <w:r w:rsidRPr="00ED60BB">
              <w:rPr>
                <w:b/>
                <w:bCs/>
                <w:color w:val="000000" w:themeColor="text1"/>
                <w:sz w:val="20"/>
              </w:rPr>
              <w:t>Lack of Senior-Level Expertise</w:t>
            </w:r>
            <w:r w:rsidRPr="00ED60BB">
              <w:rPr>
                <w:color w:val="000000" w:themeColor="text1"/>
                <w:sz w:val="20"/>
              </w:rPr>
              <w:t>: The absence of subject matter experts in the project team affects the quality and direction of implementation.</w:t>
            </w:r>
          </w:p>
          <w:p w14:paraId="67964BD2" w14:textId="28697CB8" w:rsidR="007A5C5F" w:rsidRPr="00ED60BB" w:rsidRDefault="007A5C5F" w:rsidP="007A5C5F">
            <w:pPr>
              <w:numPr>
                <w:ilvl w:val="0"/>
                <w:numId w:val="282"/>
              </w:numPr>
              <w:rPr>
                <w:color w:val="000000" w:themeColor="text1"/>
                <w:sz w:val="20"/>
              </w:rPr>
            </w:pPr>
            <w:r w:rsidRPr="00ED60BB">
              <w:rPr>
                <w:b/>
                <w:bCs/>
                <w:color w:val="000000" w:themeColor="text1"/>
                <w:sz w:val="20"/>
              </w:rPr>
              <w:t>Abrupt Activity Termination</w:t>
            </w:r>
            <w:r w:rsidRPr="00ED60BB">
              <w:rPr>
                <w:color w:val="000000" w:themeColor="text1"/>
                <w:sz w:val="20"/>
              </w:rPr>
              <w:t>: Unexplained discontinuation of some project activities, leading to gaps in continuity.</w:t>
            </w:r>
          </w:p>
          <w:p w14:paraId="656EB2A0" w14:textId="32B86615" w:rsidR="007A5C5F" w:rsidRDefault="007A5C5F" w:rsidP="007A5C5F">
            <w:pPr>
              <w:keepNext/>
              <w:jc w:val="both"/>
              <w:rPr>
                <w:szCs w:val="22"/>
                <w:lang w:val="en-GB"/>
              </w:rPr>
            </w:pPr>
          </w:p>
        </w:tc>
      </w:tr>
    </w:tbl>
    <w:p w14:paraId="7D3734E6" w14:textId="77777777" w:rsidR="003724A8" w:rsidRPr="007A5C5F" w:rsidRDefault="003724A8" w:rsidP="00443215">
      <w:pPr>
        <w:pStyle w:val="Heading2"/>
        <w:rPr>
          <w:rFonts w:ascii="Times New Roman" w:hAnsi="Times New Roman" w:cs="Times New Roman"/>
          <w:lang w:val="en-GB"/>
        </w:rPr>
      </w:pPr>
      <w:bookmarkStart w:id="22" w:name="_Toc188348261"/>
      <w:r w:rsidRPr="007A5C5F">
        <w:rPr>
          <w:rFonts w:ascii="Times New Roman" w:hAnsi="Times New Roman" w:cs="Times New Roman"/>
          <w:lang w:val="en-GB"/>
        </w:rPr>
        <w:t>EFFECTIVENESS</w:t>
      </w:r>
      <w:bookmarkEnd w:id="22"/>
    </w:p>
    <w:p w14:paraId="10A0D83A" w14:textId="6AF35F14" w:rsidR="009349DB" w:rsidRPr="00ED60BB" w:rsidRDefault="003724A8" w:rsidP="00ED60BB">
      <w:pPr>
        <w:pStyle w:val="Heading4"/>
        <w:rPr>
          <w:rFonts w:ascii="Times New Roman" w:hAnsi="Times New Roman" w:cs="Times New Roman"/>
          <w:lang w:val="en-GB"/>
        </w:rPr>
      </w:pPr>
      <w:r w:rsidRPr="007A5C5F">
        <w:rPr>
          <w:rFonts w:ascii="Times New Roman" w:hAnsi="Times New Roman" w:cs="Times New Roman"/>
          <w:lang w:val="en-GB"/>
        </w:rPr>
        <w:t>EVALUATION QUESTIONS:</w:t>
      </w:r>
    </w:p>
    <w:p w14:paraId="4DA4056C" w14:textId="77777777" w:rsidR="00A6714C" w:rsidRPr="00ED60BB" w:rsidRDefault="00A6714C" w:rsidP="00AD0F94">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How effective has the project been in achieving its planned outputs and outcomes, particularly those related to equal access to justice, accountability, and transparency?</w:t>
      </w:r>
    </w:p>
    <w:p w14:paraId="2870E564" w14:textId="77777777" w:rsidR="00A6714C" w:rsidRPr="00ED60BB" w:rsidRDefault="00A6714C" w:rsidP="00AD0F94">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lastRenderedPageBreak/>
        <w:t>How far has JURE contributed to the transformation of justice sector institutions in understanding and implementing essential reforms?</w:t>
      </w:r>
    </w:p>
    <w:p w14:paraId="0E1CE90D" w14:textId="0C1A94B6" w:rsidR="00A6714C" w:rsidRPr="00ED60BB" w:rsidRDefault="00A6714C" w:rsidP="00AD0F94">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How effective are the governance and management structures of the project</w:t>
      </w:r>
      <w:r w:rsidR="005961C3" w:rsidRPr="00ED60BB">
        <w:rPr>
          <w:b/>
          <w:bCs/>
          <w:i/>
          <w:iCs/>
          <w:color w:val="70AD47" w:themeColor="accent6"/>
          <w:sz w:val="22"/>
          <w:szCs w:val="22"/>
          <w:lang w:val="en-GB"/>
        </w:rPr>
        <w:t xml:space="preserve"> and coordination mechanism between the UNDP and UNICEF in delivering </w:t>
      </w:r>
      <w:r w:rsidRPr="00ED60BB">
        <w:rPr>
          <w:b/>
          <w:bCs/>
          <w:i/>
          <w:iCs/>
          <w:color w:val="70AD47" w:themeColor="accent6"/>
          <w:sz w:val="22"/>
          <w:szCs w:val="22"/>
          <w:lang w:val="en-GB"/>
        </w:rPr>
        <w:t>in delivering the expected results?</w:t>
      </w:r>
    </w:p>
    <w:p w14:paraId="54645A56" w14:textId="77777777" w:rsidR="005961C3" w:rsidRPr="00ED60BB" w:rsidRDefault="005961C3" w:rsidP="00AD0F94">
      <w:pPr>
        <w:pStyle w:val="ListParagraph"/>
        <w:numPr>
          <w:ilvl w:val="0"/>
          <w:numId w:val="0"/>
        </w:numPr>
        <w:adjustRightInd/>
        <w:snapToGrid/>
        <w:spacing w:after="0"/>
        <w:ind w:left="720"/>
        <w:jc w:val="both"/>
        <w:rPr>
          <w:b/>
          <w:bCs/>
          <w:i/>
          <w:iCs/>
          <w:color w:val="70AD47" w:themeColor="accent6"/>
          <w:sz w:val="22"/>
          <w:szCs w:val="22"/>
          <w:lang w:val="en-GB"/>
        </w:rPr>
      </w:pPr>
    </w:p>
    <w:tbl>
      <w:tblPr>
        <w:tblStyle w:val="IESTable"/>
        <w:tblW w:w="0" w:type="auto"/>
        <w:tblInd w:w="279" w:type="dxa"/>
        <w:tblLook w:val="04A0" w:firstRow="1" w:lastRow="0" w:firstColumn="1" w:lastColumn="0" w:noHBand="0" w:noVBand="1"/>
      </w:tblPr>
      <w:tblGrid>
        <w:gridCol w:w="9301"/>
      </w:tblGrid>
      <w:tr w:rsidR="005961C3" w:rsidRPr="00ED60BB" w14:paraId="399F5C1A" w14:textId="77777777" w:rsidTr="005961C3">
        <w:trPr>
          <w:cnfStyle w:val="100000000000" w:firstRow="1" w:lastRow="0" w:firstColumn="0" w:lastColumn="0" w:oddVBand="0" w:evenVBand="0" w:oddHBand="0" w:evenHBand="0" w:firstRowFirstColumn="0" w:firstRowLastColumn="0" w:lastRowFirstColumn="0" w:lastRowLastColumn="0"/>
        </w:trPr>
        <w:tc>
          <w:tcPr>
            <w:tcW w:w="9301" w:type="dxa"/>
          </w:tcPr>
          <w:p w14:paraId="1F4BCA5F" w14:textId="6AF237FD" w:rsidR="005961C3" w:rsidRPr="00ED60BB" w:rsidRDefault="005961C3" w:rsidP="009349DB">
            <w:pPr>
              <w:jc w:val="both"/>
              <w:rPr>
                <w:szCs w:val="22"/>
                <w:lang w:val="en-GB"/>
              </w:rPr>
            </w:pPr>
            <w:r w:rsidRPr="00ED60BB">
              <w:rPr>
                <w:b/>
                <w:szCs w:val="22"/>
                <w:lang w:val="en-GB"/>
              </w:rPr>
              <w:t>Rationale</w:t>
            </w:r>
            <w:r w:rsidRPr="00ED60BB">
              <w:rPr>
                <w:szCs w:val="22"/>
                <w:lang w:val="en-GB"/>
              </w:rPr>
              <w:t>: Effectiveness examines how well the project is progressing towards planned results. It also considers the strategic leadership provided by JURE in guiding justice institutions toward transformative reforms, evaluating the project’s success in achieving measurable results and addressing justice-related challenges.</w:t>
            </w:r>
          </w:p>
        </w:tc>
      </w:tr>
    </w:tbl>
    <w:p w14:paraId="113AF1F3" w14:textId="77777777" w:rsidR="005961C3" w:rsidRPr="007A5C5F" w:rsidRDefault="005961C3" w:rsidP="005961C3">
      <w:pPr>
        <w:pStyle w:val="ListParagraph"/>
        <w:numPr>
          <w:ilvl w:val="0"/>
          <w:numId w:val="0"/>
        </w:numPr>
        <w:adjustRightInd/>
        <w:snapToGrid/>
        <w:spacing w:after="0"/>
        <w:ind w:left="720"/>
        <w:rPr>
          <w:b/>
          <w:bCs/>
          <w:i/>
          <w:iCs/>
          <w:color w:val="70AD47" w:themeColor="accent6"/>
          <w:lang w:val="en-GB"/>
        </w:rPr>
      </w:pPr>
    </w:p>
    <w:p w14:paraId="3773873F" w14:textId="1FDA0148" w:rsidR="00F35FC4" w:rsidRPr="007A5C5F" w:rsidRDefault="00CF0EA3" w:rsidP="00BC3B53">
      <w:pPr>
        <w:pStyle w:val="ListParagraph"/>
        <w:numPr>
          <w:ilvl w:val="0"/>
          <w:numId w:val="49"/>
        </w:numPr>
        <w:adjustRightInd/>
        <w:snapToGrid/>
        <w:spacing w:after="0"/>
        <w:jc w:val="both"/>
        <w:rPr>
          <w:sz w:val="22"/>
          <w:szCs w:val="22"/>
          <w:lang w:val="en-GB"/>
        </w:rPr>
      </w:pPr>
      <w:r w:rsidRPr="007A5C5F">
        <w:rPr>
          <w:sz w:val="22"/>
          <w:szCs w:val="22"/>
          <w:lang w:val="en-GB"/>
        </w:rPr>
        <w:t xml:space="preserve">Through a combination of capacity building, legislative support, data-driven approaches, and stakeholder collaboration, JURE has advanced the justice sector's readiness to implement critical reforms. However, sustained investment and strategic planning remain necessary </w:t>
      </w:r>
      <w:r w:rsidR="00597CD7">
        <w:rPr>
          <w:sz w:val="22"/>
          <w:szCs w:val="22"/>
          <w:lang w:val="en-GB"/>
        </w:rPr>
        <w:t>to ensure</w:t>
      </w:r>
      <w:r w:rsidRPr="007A5C5F">
        <w:rPr>
          <w:sz w:val="22"/>
          <w:szCs w:val="22"/>
          <w:lang w:val="en-GB"/>
        </w:rPr>
        <w:t xml:space="preserve"> the longevity and scalability of these </w:t>
      </w:r>
      <w:r w:rsidR="00153DBE" w:rsidRPr="007A5C5F">
        <w:rPr>
          <w:sz w:val="22"/>
          <w:szCs w:val="22"/>
          <w:lang w:val="en-GB"/>
        </w:rPr>
        <w:t>achievements. The</w:t>
      </w:r>
      <w:r w:rsidR="00340492" w:rsidRPr="007A5C5F">
        <w:rPr>
          <w:sz w:val="22"/>
          <w:szCs w:val="22"/>
          <w:lang w:val="en-GB"/>
        </w:rPr>
        <w:t xml:space="preserve"> JURE’s contributions in 2024 are </w:t>
      </w:r>
      <w:r w:rsidR="009C2EF1" w:rsidRPr="007A5C5F">
        <w:rPr>
          <w:sz w:val="22"/>
          <w:szCs w:val="22"/>
          <w:lang w:val="en-GB"/>
        </w:rPr>
        <w:t>summarized</w:t>
      </w:r>
      <w:r w:rsidR="00340492" w:rsidRPr="007A5C5F">
        <w:rPr>
          <w:sz w:val="22"/>
          <w:szCs w:val="22"/>
          <w:lang w:val="en-GB"/>
        </w:rPr>
        <w:t xml:space="preserve"> hereunder:</w:t>
      </w:r>
    </w:p>
    <w:p w14:paraId="55F863BE" w14:textId="1A29D30D" w:rsidR="00CF0EA3" w:rsidRPr="007A5C5F" w:rsidRDefault="00CF0EA3" w:rsidP="00CB2C17">
      <w:pPr>
        <w:pStyle w:val="ListParagraph"/>
        <w:numPr>
          <w:ilvl w:val="0"/>
          <w:numId w:val="49"/>
        </w:numPr>
        <w:adjustRightInd/>
        <w:snapToGrid/>
        <w:spacing w:after="0"/>
        <w:jc w:val="both"/>
        <w:rPr>
          <w:sz w:val="22"/>
          <w:szCs w:val="22"/>
          <w:lang w:val="en-GB"/>
        </w:rPr>
      </w:pPr>
      <w:r w:rsidRPr="007A5C5F">
        <w:rPr>
          <w:sz w:val="22"/>
          <w:szCs w:val="22"/>
          <w:lang w:val="en-GB"/>
        </w:rPr>
        <w:t xml:space="preserve">In terms of </w:t>
      </w:r>
      <w:r w:rsidRPr="007A5C5F">
        <w:rPr>
          <w:b/>
          <w:bCs/>
          <w:sz w:val="22"/>
          <w:szCs w:val="22"/>
          <w:lang w:val="en-GB"/>
        </w:rPr>
        <w:t>equal access to justice</w:t>
      </w:r>
      <w:r w:rsidRPr="007A5C5F">
        <w:rPr>
          <w:sz w:val="22"/>
          <w:szCs w:val="22"/>
          <w:lang w:val="en-GB"/>
        </w:rPr>
        <w:t xml:space="preserve">, the project has provided legal aid and support to over </w:t>
      </w:r>
      <w:r w:rsidRPr="007A5C5F">
        <w:rPr>
          <w:b/>
          <w:bCs/>
          <w:sz w:val="22"/>
          <w:szCs w:val="22"/>
          <w:lang w:val="en-GB"/>
        </w:rPr>
        <w:t>5,795 individuals</w:t>
      </w:r>
      <w:r w:rsidRPr="007A5C5F">
        <w:rPr>
          <w:sz w:val="22"/>
          <w:szCs w:val="22"/>
          <w:lang w:val="en-GB"/>
        </w:rPr>
        <w:t xml:space="preserve"> (61% women) across nine provinces, including marginalized groups such as the Vedda community. Through collaboration with Women in Need, </w:t>
      </w:r>
      <w:r w:rsidRPr="007A5C5F">
        <w:rPr>
          <w:b/>
          <w:bCs/>
          <w:sz w:val="22"/>
          <w:szCs w:val="22"/>
          <w:lang w:val="en-GB"/>
        </w:rPr>
        <w:t>2,</w:t>
      </w:r>
      <w:r w:rsidR="006C5CC9">
        <w:rPr>
          <w:b/>
          <w:bCs/>
          <w:sz w:val="22"/>
          <w:szCs w:val="22"/>
          <w:lang w:val="en-GB"/>
        </w:rPr>
        <w:t>473</w:t>
      </w:r>
      <w:r w:rsidRPr="007A5C5F">
        <w:rPr>
          <w:b/>
          <w:bCs/>
          <w:sz w:val="22"/>
          <w:szCs w:val="22"/>
          <w:lang w:val="en-GB"/>
        </w:rPr>
        <w:t xml:space="preserve"> </w:t>
      </w:r>
      <w:proofErr w:type="gramStart"/>
      <w:r w:rsidRPr="007A5C5F">
        <w:rPr>
          <w:b/>
          <w:bCs/>
          <w:sz w:val="22"/>
          <w:szCs w:val="22"/>
          <w:lang w:val="en-GB"/>
        </w:rPr>
        <w:t>clients</w:t>
      </w:r>
      <w:proofErr w:type="gramEnd"/>
      <w:r w:rsidR="006C5CC9">
        <w:rPr>
          <w:sz w:val="22"/>
          <w:szCs w:val="22"/>
          <w:lang w:val="en-GB"/>
        </w:rPr>
        <w:t xml:space="preserve"> </w:t>
      </w:r>
      <w:r w:rsidRPr="007A5C5F">
        <w:rPr>
          <w:sz w:val="22"/>
          <w:szCs w:val="22"/>
          <w:lang w:val="en-GB"/>
        </w:rPr>
        <w:t xml:space="preserve">women received legal aid and </w:t>
      </w:r>
      <w:r w:rsidR="007A5C5F" w:rsidRPr="007A5C5F">
        <w:rPr>
          <w:sz w:val="22"/>
          <w:szCs w:val="22"/>
          <w:lang w:val="en-GB"/>
        </w:rPr>
        <w:t>counselling</w:t>
      </w:r>
      <w:r w:rsidRPr="007A5C5F">
        <w:rPr>
          <w:sz w:val="22"/>
          <w:szCs w:val="22"/>
          <w:lang w:val="en-GB"/>
        </w:rPr>
        <w:t xml:space="preserve"> service</w:t>
      </w:r>
      <w:r w:rsidR="006C5CC9">
        <w:rPr>
          <w:sz w:val="22"/>
          <w:szCs w:val="22"/>
          <w:lang w:val="en-GB"/>
        </w:rPr>
        <w:t xml:space="preserve">s were provided </w:t>
      </w:r>
      <w:r w:rsidR="00F22459">
        <w:rPr>
          <w:sz w:val="22"/>
          <w:szCs w:val="22"/>
          <w:lang w:val="en-GB"/>
        </w:rPr>
        <w:t xml:space="preserve">to </w:t>
      </w:r>
      <w:r w:rsidR="00F22459" w:rsidRPr="007A5C5F">
        <w:rPr>
          <w:sz w:val="22"/>
          <w:szCs w:val="22"/>
          <w:lang w:val="en-GB"/>
        </w:rPr>
        <w:t>2,091</w:t>
      </w:r>
      <w:r w:rsidRPr="007A5C5F">
        <w:rPr>
          <w:b/>
          <w:bCs/>
          <w:sz w:val="22"/>
          <w:szCs w:val="22"/>
          <w:lang w:val="en-GB"/>
        </w:rPr>
        <w:t xml:space="preserve"> </w:t>
      </w:r>
      <w:r w:rsidRPr="007A5C5F">
        <w:rPr>
          <w:sz w:val="22"/>
          <w:szCs w:val="22"/>
          <w:lang w:val="en-GB"/>
        </w:rPr>
        <w:t>women</w:t>
      </w:r>
      <w:r w:rsidR="006C5CC9">
        <w:rPr>
          <w:sz w:val="22"/>
          <w:szCs w:val="22"/>
          <w:lang w:val="en-GB"/>
        </w:rPr>
        <w:t xml:space="preserve"> across the country</w:t>
      </w:r>
      <w:r w:rsidR="006C5CC9">
        <w:rPr>
          <w:rStyle w:val="FootnoteReference"/>
          <w:sz w:val="22"/>
          <w:szCs w:val="22"/>
          <w:lang w:val="en-GB"/>
        </w:rPr>
        <w:footnoteReference w:id="68"/>
      </w:r>
      <w:r w:rsidRPr="007A5C5F">
        <w:rPr>
          <w:sz w:val="22"/>
          <w:szCs w:val="22"/>
          <w:lang w:val="en-GB"/>
        </w:rPr>
        <w:t xml:space="preserve">. Additionally, </w:t>
      </w:r>
      <w:r w:rsidRPr="007A5C5F">
        <w:rPr>
          <w:b/>
          <w:bCs/>
          <w:sz w:val="22"/>
          <w:szCs w:val="22"/>
          <w:lang w:val="en-GB"/>
        </w:rPr>
        <w:t>278 women community leaders</w:t>
      </w:r>
      <w:r w:rsidRPr="007A5C5F">
        <w:rPr>
          <w:sz w:val="22"/>
          <w:szCs w:val="22"/>
          <w:lang w:val="en-GB"/>
        </w:rPr>
        <w:t xml:space="preserve"> were trained as master trainers on SGBV laws and rights, further empowering communities to advocate for justice. Notably, JURE's collaboration with the Legal Aid Commission facilitated the release of 13 children from adult prisons and the development of guidelines to institutionalize legal aid for children, addressing systemic barriers to justice for vulnerable groups</w:t>
      </w:r>
      <w:r w:rsidR="00F73416">
        <w:rPr>
          <w:sz w:val="22"/>
          <w:szCs w:val="22"/>
          <w:lang w:val="en-GB"/>
        </w:rPr>
        <w:t xml:space="preserve">, </w:t>
      </w:r>
      <w:r w:rsidR="00EC57B7">
        <w:rPr>
          <w:sz w:val="22"/>
          <w:szCs w:val="22"/>
          <w:lang w:val="en-GB"/>
        </w:rPr>
        <w:t>including</w:t>
      </w:r>
      <w:r w:rsidR="00F73416">
        <w:rPr>
          <w:sz w:val="22"/>
          <w:szCs w:val="22"/>
          <w:lang w:val="en-GB"/>
        </w:rPr>
        <w:t xml:space="preserve"> </w:t>
      </w:r>
      <w:r w:rsidR="00F73416" w:rsidRPr="00C900FD">
        <w:rPr>
          <w:sz w:val="22"/>
          <w:szCs w:val="22"/>
          <w:lang w:val="en-GB"/>
        </w:rPr>
        <w:t>vulnerable children under the Alternative Care policy</w:t>
      </w:r>
      <w:r w:rsidRPr="007A5C5F">
        <w:rPr>
          <w:sz w:val="22"/>
          <w:szCs w:val="22"/>
          <w:lang w:val="en-GB"/>
        </w:rPr>
        <w:t>.</w:t>
      </w:r>
      <w:r w:rsidR="006C5CC9" w:rsidRPr="006C5CC9">
        <w:rPr>
          <w:sz w:val="22"/>
          <w:szCs w:val="22"/>
          <w:lang w:val="en-GB"/>
        </w:rPr>
        <w:t xml:space="preserve"> </w:t>
      </w:r>
      <w:r w:rsidR="006C5CC9" w:rsidRPr="007A5C5F">
        <w:rPr>
          <w:sz w:val="22"/>
          <w:szCs w:val="22"/>
          <w:lang w:val="en-GB"/>
        </w:rPr>
        <w:t xml:space="preserve">Additionally, the introduction of </w:t>
      </w:r>
      <w:r w:rsidR="006C5CC9" w:rsidRPr="007A5C5F">
        <w:rPr>
          <w:rStyle w:val="Strong"/>
          <w:rFonts w:eastAsia="AppleGothic"/>
          <w:sz w:val="22"/>
          <w:szCs w:val="22"/>
          <w:lang w:val="en-GB"/>
        </w:rPr>
        <w:t>commercial mediation mechanisms</w:t>
      </w:r>
      <w:r w:rsidR="006C5CC9" w:rsidRPr="007A5C5F">
        <w:rPr>
          <w:sz w:val="22"/>
          <w:szCs w:val="22"/>
          <w:lang w:val="en-GB"/>
        </w:rPr>
        <w:t xml:space="preserve"> under the Companies Act has streamlined dispute resolution processes, reducing the burden on courts.</w:t>
      </w:r>
    </w:p>
    <w:p w14:paraId="2AE121FF" w14:textId="2C7F68A1" w:rsidR="00A93150" w:rsidRPr="00D24919" w:rsidRDefault="00CF0EA3" w:rsidP="00F22459">
      <w:pPr>
        <w:pStyle w:val="ListParagraph"/>
        <w:numPr>
          <w:ilvl w:val="0"/>
          <w:numId w:val="49"/>
        </w:numPr>
        <w:adjustRightInd/>
        <w:snapToGrid/>
        <w:spacing w:after="0"/>
        <w:jc w:val="both"/>
        <w:rPr>
          <w:sz w:val="22"/>
          <w:szCs w:val="22"/>
          <w:lang w:val="en-GB"/>
        </w:rPr>
      </w:pPr>
      <w:r w:rsidRPr="007A5C5F">
        <w:rPr>
          <w:sz w:val="22"/>
          <w:szCs w:val="22"/>
          <w:lang w:val="en-GB"/>
        </w:rPr>
        <w:t xml:space="preserve">The project has also advanced </w:t>
      </w:r>
      <w:r w:rsidRPr="007A5C5F">
        <w:rPr>
          <w:b/>
          <w:bCs/>
          <w:sz w:val="22"/>
          <w:szCs w:val="22"/>
          <w:lang w:val="en-GB"/>
        </w:rPr>
        <w:t>accountability and transparency</w:t>
      </w:r>
      <w:r w:rsidRPr="007A5C5F">
        <w:rPr>
          <w:sz w:val="22"/>
          <w:szCs w:val="22"/>
          <w:lang w:val="en-GB"/>
        </w:rPr>
        <w:t xml:space="preserve"> by increasing public awareness and engagement with anti-corruption mechanisms. </w:t>
      </w:r>
      <w:r w:rsidR="00A93150" w:rsidRPr="007A5C5F">
        <w:rPr>
          <w:sz w:val="22"/>
          <w:szCs w:val="22"/>
          <w:lang w:val="en-GB"/>
        </w:rPr>
        <w:t xml:space="preserve">Through its </w:t>
      </w:r>
      <w:r w:rsidR="00A93150" w:rsidRPr="007A5C5F">
        <w:rPr>
          <w:b/>
          <w:bCs/>
          <w:sz w:val="22"/>
          <w:szCs w:val="22"/>
          <w:lang w:val="en-GB"/>
        </w:rPr>
        <w:t>Training of Trainers (ToT) initiative</w:t>
      </w:r>
      <w:r w:rsidR="00A93150" w:rsidRPr="007A5C5F">
        <w:rPr>
          <w:sz w:val="22"/>
          <w:szCs w:val="22"/>
          <w:lang w:val="en-GB"/>
        </w:rPr>
        <w:t xml:space="preserve">, over 532 trainers conducted 729 sessions, directly engaging 35,200 public servants across the country. </w:t>
      </w:r>
      <w:r w:rsidR="00F22459">
        <w:rPr>
          <w:sz w:val="22"/>
          <w:szCs w:val="22"/>
          <w:lang w:val="en-GB"/>
        </w:rPr>
        <w:t>According to CIABOC, t</w:t>
      </w:r>
      <w:r w:rsidR="00A93150" w:rsidRPr="007A5C5F">
        <w:rPr>
          <w:sz w:val="22"/>
          <w:szCs w:val="22"/>
          <w:lang w:val="en-GB"/>
        </w:rPr>
        <w:t xml:space="preserve">hese trainers have become key advocates for anti-corruption practices, fostering widespread </w:t>
      </w:r>
      <w:r w:rsidR="007A5C5F" w:rsidRPr="007A5C5F">
        <w:rPr>
          <w:sz w:val="22"/>
          <w:szCs w:val="22"/>
          <w:lang w:val="en-GB"/>
        </w:rPr>
        <w:t>behavioural</w:t>
      </w:r>
      <w:r w:rsidR="00A93150" w:rsidRPr="007A5C5F">
        <w:rPr>
          <w:sz w:val="22"/>
          <w:szCs w:val="22"/>
          <w:lang w:val="en-GB"/>
        </w:rPr>
        <w:t xml:space="preserve"> change within the public sector and promoting a culture of accountability. </w:t>
      </w:r>
      <w:r w:rsidR="00F22459">
        <w:rPr>
          <w:sz w:val="22"/>
          <w:szCs w:val="22"/>
          <w:lang w:val="en-GB"/>
        </w:rPr>
        <w:t xml:space="preserve">The same source provides that </w:t>
      </w:r>
      <w:r w:rsidRPr="007A5C5F">
        <w:rPr>
          <w:sz w:val="22"/>
          <w:szCs w:val="22"/>
          <w:lang w:val="en-GB"/>
        </w:rPr>
        <w:t xml:space="preserve">JURE-supported awareness sessions led to a </w:t>
      </w:r>
      <w:r w:rsidRPr="007A5C5F">
        <w:rPr>
          <w:b/>
          <w:bCs/>
          <w:sz w:val="22"/>
          <w:szCs w:val="22"/>
          <w:lang w:val="en-GB"/>
        </w:rPr>
        <w:t>117% rise in complaints</w:t>
      </w:r>
      <w:r w:rsidRPr="007A5C5F">
        <w:rPr>
          <w:sz w:val="22"/>
          <w:szCs w:val="22"/>
          <w:lang w:val="en-GB"/>
        </w:rPr>
        <w:t xml:space="preserve"> to CIABOC in Q1 2024 compared to the previous year. District audit teams were established across </w:t>
      </w:r>
      <w:r w:rsidRPr="007A5C5F">
        <w:rPr>
          <w:b/>
          <w:bCs/>
          <w:sz w:val="22"/>
          <w:szCs w:val="22"/>
          <w:lang w:val="en-GB"/>
        </w:rPr>
        <w:t>nine districts in four provinces</w:t>
      </w:r>
      <w:r w:rsidRPr="007A5C5F">
        <w:rPr>
          <w:sz w:val="22"/>
          <w:szCs w:val="22"/>
          <w:lang w:val="en-GB"/>
        </w:rPr>
        <w:t xml:space="preserve">, facilitating accessibility audits and regular dialogues between government entities and persons with disabilities. </w:t>
      </w:r>
      <w:r w:rsidR="00F22459" w:rsidRPr="00D24919">
        <w:rPr>
          <w:sz w:val="22"/>
          <w:szCs w:val="22"/>
          <w:lang w:val="en-GB"/>
        </w:rPr>
        <w:t xml:space="preserve">the current ratings indicate a decline in progress toward anti-corruption goals. Notably, Sri Lanka's CPI score decreased from 34 in 2023 to 32 in 2024, with its ranking falling from 115th to 121st out of 180 </w:t>
      </w:r>
      <w:r w:rsidR="00F22459" w:rsidRPr="00F22459">
        <w:rPr>
          <w:sz w:val="22"/>
          <w:szCs w:val="22"/>
          <w:lang w:val="en-GB"/>
        </w:rPr>
        <w:t xml:space="preserve">countries. </w:t>
      </w:r>
      <w:r w:rsidR="00F22459">
        <w:rPr>
          <w:sz w:val="22"/>
          <w:szCs w:val="22"/>
          <w:lang w:val="en-GB"/>
        </w:rPr>
        <w:t>T</w:t>
      </w:r>
      <w:r w:rsidR="00F22459" w:rsidRPr="00D24919">
        <w:rPr>
          <w:sz w:val="22"/>
          <w:szCs w:val="22"/>
          <w:lang w:val="en-GB"/>
        </w:rPr>
        <w:t>he final evaluation will be best suited to validate these numbers. If the data provided is accurate,</w:t>
      </w:r>
      <w:r w:rsidR="00F22459">
        <w:rPr>
          <w:sz w:val="22"/>
          <w:szCs w:val="22"/>
          <w:lang w:val="en-GB"/>
        </w:rPr>
        <w:t xml:space="preserve"> </w:t>
      </w:r>
      <w:proofErr w:type="gramStart"/>
      <w:r w:rsidR="00F22459">
        <w:rPr>
          <w:sz w:val="22"/>
          <w:szCs w:val="22"/>
          <w:lang w:val="en-GB"/>
        </w:rPr>
        <w:t>as a result of</w:t>
      </w:r>
      <w:proofErr w:type="gramEnd"/>
      <w:r w:rsidR="00F22459">
        <w:rPr>
          <w:sz w:val="22"/>
          <w:szCs w:val="22"/>
          <w:lang w:val="en-GB"/>
        </w:rPr>
        <w:t xml:space="preserve"> these activities,</w:t>
      </w:r>
      <w:r w:rsidR="00F22459" w:rsidRPr="00D24919">
        <w:rPr>
          <w:sz w:val="22"/>
          <w:szCs w:val="22"/>
          <w:lang w:val="en-GB"/>
        </w:rPr>
        <w:t xml:space="preserve"> Sri Lanka’s rating should show improvement by 2026.</w:t>
      </w:r>
    </w:p>
    <w:p w14:paraId="35175E52" w14:textId="5D164AB7" w:rsidR="00CF0EA3" w:rsidRPr="007A5C5F" w:rsidRDefault="00CF0EA3" w:rsidP="00CB2C17">
      <w:pPr>
        <w:pStyle w:val="ListParagraph"/>
        <w:numPr>
          <w:ilvl w:val="0"/>
          <w:numId w:val="49"/>
        </w:numPr>
        <w:adjustRightInd/>
        <w:snapToGrid/>
        <w:spacing w:after="0"/>
        <w:jc w:val="both"/>
        <w:rPr>
          <w:sz w:val="22"/>
          <w:szCs w:val="22"/>
          <w:lang w:val="en-GB"/>
        </w:rPr>
      </w:pPr>
      <w:r w:rsidRPr="007A5C5F">
        <w:rPr>
          <w:sz w:val="22"/>
          <w:szCs w:val="22"/>
          <w:lang w:val="en-GB"/>
        </w:rPr>
        <w:t xml:space="preserve"> </w:t>
      </w:r>
      <w:r w:rsidR="00A93150" w:rsidRPr="007A5C5F">
        <w:rPr>
          <w:sz w:val="22"/>
          <w:szCs w:val="22"/>
          <w:lang w:val="en-GB"/>
        </w:rPr>
        <w:t>T</w:t>
      </w:r>
      <w:r w:rsidRPr="007A5C5F">
        <w:rPr>
          <w:sz w:val="22"/>
          <w:szCs w:val="22"/>
          <w:lang w:val="en-GB"/>
        </w:rPr>
        <w:t xml:space="preserve">he establishment of the </w:t>
      </w:r>
      <w:r w:rsidRPr="007A5C5F">
        <w:rPr>
          <w:b/>
          <w:bCs/>
          <w:sz w:val="22"/>
          <w:szCs w:val="22"/>
          <w:lang w:val="en-GB"/>
        </w:rPr>
        <w:t xml:space="preserve">Rapid </w:t>
      </w:r>
      <w:r w:rsidR="006C5CC9" w:rsidRPr="007A5C5F">
        <w:rPr>
          <w:b/>
          <w:bCs/>
          <w:sz w:val="22"/>
          <w:szCs w:val="22"/>
          <w:lang w:val="en-GB"/>
        </w:rPr>
        <w:t>Response</w:t>
      </w:r>
      <w:r w:rsidR="006C5CC9" w:rsidRPr="00C900FD">
        <w:rPr>
          <w:b/>
          <w:bCs/>
          <w:sz w:val="22"/>
          <w:szCs w:val="22"/>
          <w:lang w:val="en-GB"/>
        </w:rPr>
        <w:t xml:space="preserve"> and Child Rights Units</w:t>
      </w:r>
      <w:r w:rsidRPr="007A5C5F">
        <w:rPr>
          <w:b/>
          <w:bCs/>
          <w:sz w:val="22"/>
          <w:szCs w:val="22"/>
          <w:lang w:val="en-GB"/>
        </w:rPr>
        <w:t xml:space="preserve"> at the Human Rights Commission (HRC)</w:t>
      </w:r>
      <w:r w:rsidRPr="007A5C5F">
        <w:rPr>
          <w:sz w:val="22"/>
          <w:szCs w:val="22"/>
          <w:lang w:val="en-GB"/>
        </w:rPr>
        <w:t xml:space="preserve"> has strengthened the institution's ability to respond promptly to human rights violations, enhancing public trust in the justice system.</w:t>
      </w:r>
    </w:p>
    <w:p w14:paraId="5C8A31A6" w14:textId="1035024F" w:rsidR="00CF0EA3" w:rsidRPr="007A5C5F" w:rsidRDefault="00CF0EA3" w:rsidP="00CB2C17">
      <w:pPr>
        <w:pStyle w:val="ListParagraph"/>
        <w:numPr>
          <w:ilvl w:val="0"/>
          <w:numId w:val="49"/>
        </w:numPr>
        <w:adjustRightInd/>
        <w:snapToGrid/>
        <w:spacing w:after="0"/>
        <w:jc w:val="both"/>
        <w:rPr>
          <w:sz w:val="22"/>
          <w:szCs w:val="22"/>
          <w:lang w:val="en-GB"/>
        </w:rPr>
      </w:pPr>
      <w:r w:rsidRPr="007A5C5F">
        <w:rPr>
          <w:sz w:val="22"/>
          <w:szCs w:val="22"/>
          <w:lang w:val="en-GB"/>
        </w:rPr>
        <w:t xml:space="preserve">Efforts to improve </w:t>
      </w:r>
      <w:r w:rsidRPr="007A5C5F">
        <w:rPr>
          <w:b/>
          <w:bCs/>
          <w:sz w:val="22"/>
          <w:szCs w:val="22"/>
          <w:lang w:val="en-GB"/>
        </w:rPr>
        <w:t>efficiency in justice delivery</w:t>
      </w:r>
      <w:r w:rsidRPr="007A5C5F">
        <w:rPr>
          <w:sz w:val="22"/>
          <w:szCs w:val="22"/>
          <w:lang w:val="en-GB"/>
        </w:rPr>
        <w:t xml:space="preserve"> have also been impactful. Backlogs </w:t>
      </w:r>
      <w:r w:rsidR="006C5CC9" w:rsidRPr="00C900FD">
        <w:rPr>
          <w:sz w:val="22"/>
          <w:szCs w:val="22"/>
          <w:lang w:val="en-GB"/>
        </w:rPr>
        <w:t xml:space="preserve">of cases in relation to child abuse </w:t>
      </w:r>
      <w:r w:rsidRPr="007A5C5F">
        <w:rPr>
          <w:sz w:val="22"/>
          <w:szCs w:val="22"/>
          <w:lang w:val="en-GB"/>
        </w:rPr>
        <w:t xml:space="preserve">were addressed, with </w:t>
      </w:r>
      <w:r w:rsidRPr="007A5C5F">
        <w:rPr>
          <w:b/>
          <w:bCs/>
          <w:sz w:val="22"/>
          <w:szCs w:val="22"/>
          <w:lang w:val="en-GB"/>
        </w:rPr>
        <w:t>650 indictments served</w:t>
      </w:r>
      <w:r w:rsidRPr="007A5C5F">
        <w:rPr>
          <w:sz w:val="22"/>
          <w:szCs w:val="22"/>
          <w:lang w:val="en-GB"/>
        </w:rPr>
        <w:t xml:space="preserve">, </w:t>
      </w:r>
      <w:r w:rsidRPr="007A5C5F">
        <w:rPr>
          <w:b/>
          <w:bCs/>
          <w:sz w:val="22"/>
          <w:szCs w:val="22"/>
          <w:lang w:val="en-GB"/>
        </w:rPr>
        <w:t>95 advice files processed</w:t>
      </w:r>
      <w:r w:rsidRPr="007A5C5F">
        <w:rPr>
          <w:sz w:val="22"/>
          <w:szCs w:val="22"/>
          <w:lang w:val="en-GB"/>
        </w:rPr>
        <w:t xml:space="preserve">, and </w:t>
      </w:r>
      <w:r w:rsidRPr="007A5C5F">
        <w:rPr>
          <w:b/>
          <w:bCs/>
          <w:sz w:val="22"/>
          <w:szCs w:val="22"/>
          <w:lang w:val="en-GB"/>
        </w:rPr>
        <w:t>230 cases discharged</w:t>
      </w:r>
      <w:r w:rsidRPr="007A5C5F">
        <w:rPr>
          <w:sz w:val="22"/>
          <w:szCs w:val="22"/>
          <w:lang w:val="en-GB"/>
        </w:rPr>
        <w:t xml:space="preserve"> by the Attorney General’s Department. Child-friendly judicial processes, such as establishing interviewing rooms in the Kandy High Court, were initiated to ensure more humane legal proceedings for children. Additionally, </w:t>
      </w:r>
      <w:r w:rsidRPr="007A5C5F">
        <w:rPr>
          <w:b/>
          <w:bCs/>
          <w:sz w:val="22"/>
          <w:szCs w:val="22"/>
          <w:lang w:val="en-GB"/>
        </w:rPr>
        <w:t>digital tools</w:t>
      </w:r>
      <w:r w:rsidRPr="007A5C5F">
        <w:rPr>
          <w:sz w:val="22"/>
          <w:szCs w:val="22"/>
          <w:lang w:val="en-GB"/>
        </w:rPr>
        <w:t>, including websites for the Colombo Commercial High Court and Sri Lanka Law College, have increased public access to legal information, enhancing transparency.</w:t>
      </w:r>
    </w:p>
    <w:p w14:paraId="04D6FECB" w14:textId="77777777" w:rsidR="009349DB" w:rsidRPr="007A5C5F" w:rsidRDefault="00CF0EA3" w:rsidP="00CB2C17">
      <w:pPr>
        <w:pStyle w:val="ListParagraph"/>
        <w:numPr>
          <w:ilvl w:val="0"/>
          <w:numId w:val="49"/>
        </w:numPr>
        <w:adjustRightInd/>
        <w:snapToGrid/>
        <w:spacing w:after="0"/>
        <w:jc w:val="both"/>
        <w:rPr>
          <w:sz w:val="22"/>
          <w:szCs w:val="22"/>
          <w:lang w:val="en-GB"/>
        </w:rPr>
      </w:pPr>
      <w:r w:rsidRPr="007A5C5F">
        <w:rPr>
          <w:sz w:val="22"/>
          <w:szCs w:val="22"/>
          <w:lang w:val="en-GB"/>
        </w:rPr>
        <w:t>JURE has played a pivotal role in transforming justice sector institutions by fostering understanding and implementing critical reforms.</w:t>
      </w:r>
      <w:r w:rsidR="009349DB" w:rsidRPr="007A5C5F">
        <w:rPr>
          <w:sz w:val="22"/>
          <w:szCs w:val="22"/>
          <w:lang w:val="en-GB"/>
        </w:rPr>
        <w:t xml:space="preserve"> </w:t>
      </w:r>
      <w:r w:rsidRPr="007A5C5F">
        <w:rPr>
          <w:sz w:val="22"/>
          <w:szCs w:val="22"/>
          <w:lang w:val="en-GB"/>
        </w:rPr>
        <w:t xml:space="preserve">The project significantly strengthened </w:t>
      </w:r>
      <w:r w:rsidRPr="007A5C5F">
        <w:rPr>
          <w:rStyle w:val="Strong"/>
          <w:rFonts w:eastAsia="AppleGothic"/>
          <w:sz w:val="22"/>
          <w:szCs w:val="22"/>
          <w:lang w:val="en-GB"/>
        </w:rPr>
        <w:t>institutional capacity</w:t>
      </w:r>
      <w:r w:rsidRPr="007A5C5F">
        <w:rPr>
          <w:sz w:val="22"/>
          <w:szCs w:val="22"/>
          <w:lang w:val="en-GB"/>
        </w:rPr>
        <w:t xml:space="preserve"> by training key stakeholders, including </w:t>
      </w:r>
      <w:r w:rsidRPr="007A5C5F">
        <w:rPr>
          <w:rStyle w:val="Strong"/>
          <w:rFonts w:eastAsia="AppleGothic"/>
          <w:sz w:val="22"/>
          <w:szCs w:val="22"/>
          <w:lang w:val="en-GB"/>
        </w:rPr>
        <w:t>54 prison officers</w:t>
      </w:r>
      <w:r w:rsidRPr="007A5C5F">
        <w:rPr>
          <w:sz w:val="22"/>
          <w:szCs w:val="22"/>
          <w:lang w:val="en-GB"/>
        </w:rPr>
        <w:t xml:space="preserve">, </w:t>
      </w:r>
      <w:r w:rsidRPr="007A5C5F">
        <w:rPr>
          <w:rStyle w:val="Strong"/>
          <w:rFonts w:eastAsia="AppleGothic"/>
          <w:sz w:val="22"/>
          <w:szCs w:val="22"/>
          <w:lang w:val="en-GB"/>
        </w:rPr>
        <w:t>103 judges</w:t>
      </w:r>
      <w:r w:rsidRPr="007A5C5F">
        <w:rPr>
          <w:sz w:val="22"/>
          <w:szCs w:val="22"/>
          <w:lang w:val="en-GB"/>
        </w:rPr>
        <w:t xml:space="preserve">, and </w:t>
      </w:r>
      <w:r w:rsidRPr="007A5C5F">
        <w:rPr>
          <w:rStyle w:val="Strong"/>
          <w:rFonts w:eastAsia="AppleGothic"/>
          <w:sz w:val="22"/>
          <w:szCs w:val="22"/>
          <w:lang w:val="en-GB"/>
        </w:rPr>
        <w:t>323 senior police officers</w:t>
      </w:r>
      <w:r w:rsidRPr="007A5C5F">
        <w:rPr>
          <w:sz w:val="22"/>
          <w:szCs w:val="22"/>
          <w:lang w:val="en-GB"/>
        </w:rPr>
        <w:t xml:space="preserve">, on </w:t>
      </w:r>
      <w:r w:rsidRPr="007A5C5F">
        <w:rPr>
          <w:sz w:val="22"/>
          <w:szCs w:val="22"/>
          <w:lang w:val="en-GB"/>
        </w:rPr>
        <w:lastRenderedPageBreak/>
        <w:t xml:space="preserve">international standards, child protection, and human rights practices. These efforts have improved the justice sector's ability to address systemic challenges effectively. </w:t>
      </w:r>
    </w:p>
    <w:p w14:paraId="2CA83B4F" w14:textId="74A54F10" w:rsidR="00CF0EA3" w:rsidRPr="007A5C5F" w:rsidRDefault="00CF0EA3" w:rsidP="00CB2C17">
      <w:pPr>
        <w:pStyle w:val="ListParagraph"/>
        <w:numPr>
          <w:ilvl w:val="0"/>
          <w:numId w:val="49"/>
        </w:numPr>
        <w:adjustRightInd/>
        <w:snapToGrid/>
        <w:spacing w:after="0"/>
        <w:jc w:val="both"/>
        <w:rPr>
          <w:sz w:val="22"/>
          <w:szCs w:val="22"/>
          <w:lang w:val="en-GB"/>
        </w:rPr>
      </w:pPr>
      <w:r w:rsidRPr="007A5C5F">
        <w:rPr>
          <w:sz w:val="22"/>
          <w:szCs w:val="22"/>
          <w:lang w:val="en-GB"/>
        </w:rPr>
        <w:t xml:space="preserve">The </w:t>
      </w:r>
      <w:r w:rsidRPr="007A5C5F">
        <w:rPr>
          <w:rStyle w:val="Strong"/>
          <w:rFonts w:eastAsia="AppleGothic"/>
          <w:sz w:val="22"/>
          <w:szCs w:val="22"/>
          <w:lang w:val="en-GB"/>
        </w:rPr>
        <w:t>Legal Aid Commission (LAC)</w:t>
      </w:r>
      <w:r w:rsidRPr="007A5C5F">
        <w:rPr>
          <w:sz w:val="22"/>
          <w:szCs w:val="22"/>
          <w:lang w:val="en-GB"/>
        </w:rPr>
        <w:t xml:space="preserve"> was also supported through capacity assessments and reforms to the Assigned Counsel system, ensuring better legal aid delivery, particularly for children.</w:t>
      </w:r>
    </w:p>
    <w:p w14:paraId="3CBB7E7D" w14:textId="46AB07DA" w:rsidR="00E41934" w:rsidRPr="007A5C5F" w:rsidRDefault="00CF0EA3" w:rsidP="00E41934">
      <w:pPr>
        <w:pStyle w:val="ListParagraph"/>
        <w:numPr>
          <w:ilvl w:val="0"/>
          <w:numId w:val="49"/>
        </w:numPr>
        <w:adjustRightInd/>
        <w:snapToGrid/>
        <w:spacing w:after="0"/>
        <w:jc w:val="both"/>
        <w:rPr>
          <w:sz w:val="22"/>
          <w:szCs w:val="22"/>
          <w:lang w:val="en-GB"/>
        </w:rPr>
      </w:pPr>
      <w:r w:rsidRPr="007A5C5F">
        <w:rPr>
          <w:sz w:val="22"/>
          <w:szCs w:val="22"/>
          <w:lang w:val="en-GB"/>
        </w:rPr>
        <w:t xml:space="preserve">Strategic </w:t>
      </w:r>
      <w:r w:rsidRPr="007A5C5F">
        <w:rPr>
          <w:rStyle w:val="Strong"/>
          <w:rFonts w:eastAsia="AppleGothic"/>
          <w:sz w:val="22"/>
          <w:szCs w:val="22"/>
          <w:lang w:val="en-GB"/>
        </w:rPr>
        <w:t>multi-stakeholder collaboration</w:t>
      </w:r>
      <w:r w:rsidRPr="007A5C5F">
        <w:rPr>
          <w:sz w:val="22"/>
          <w:szCs w:val="22"/>
          <w:lang w:val="en-GB"/>
        </w:rPr>
        <w:t xml:space="preserve"> was also strengthened. JURE’s facilitation of forums with the MOJ and development partners improved resource alignment and fostered a unified approach to justice sector development. The project’s contributions to the </w:t>
      </w:r>
      <w:r w:rsidRPr="007A5C5F">
        <w:rPr>
          <w:rStyle w:val="Strong"/>
          <w:rFonts w:eastAsia="AppleGothic"/>
          <w:sz w:val="22"/>
          <w:szCs w:val="22"/>
          <w:lang w:val="en-GB"/>
        </w:rPr>
        <w:t>Rapid Digital Strategy</w:t>
      </w:r>
      <w:r w:rsidRPr="007A5C5F">
        <w:rPr>
          <w:sz w:val="22"/>
          <w:szCs w:val="22"/>
          <w:lang w:val="en-GB"/>
        </w:rPr>
        <w:t>, including dashboards and evidence submission portals, further underscore its role in modernizing the sector.</w:t>
      </w:r>
    </w:p>
    <w:p w14:paraId="3086204D" w14:textId="2EDDB5BE" w:rsidR="00BC3B53" w:rsidRPr="00F22459" w:rsidRDefault="00E41934" w:rsidP="00E41934">
      <w:pPr>
        <w:pStyle w:val="ListParagraph"/>
        <w:numPr>
          <w:ilvl w:val="0"/>
          <w:numId w:val="49"/>
        </w:numPr>
        <w:adjustRightInd/>
        <w:snapToGrid/>
        <w:spacing w:after="0"/>
        <w:jc w:val="both"/>
        <w:rPr>
          <w:b/>
          <w:bCs/>
          <w:sz w:val="22"/>
          <w:szCs w:val="22"/>
          <w:lang w:val="en-GB"/>
        </w:rPr>
      </w:pPr>
      <w:r w:rsidRPr="00F22459">
        <w:rPr>
          <w:b/>
          <w:bCs/>
          <w:sz w:val="22"/>
          <w:szCs w:val="22"/>
          <w:lang w:val="en-GB"/>
        </w:rPr>
        <w:t xml:space="preserve">Finding </w:t>
      </w:r>
      <w:r w:rsidR="00355BD2" w:rsidRPr="00F22459">
        <w:rPr>
          <w:b/>
          <w:bCs/>
          <w:sz w:val="22"/>
          <w:szCs w:val="22"/>
          <w:lang w:val="en-GB"/>
        </w:rPr>
        <w:t>9</w:t>
      </w:r>
      <w:r w:rsidR="009E2B5C" w:rsidRPr="00F22459">
        <w:rPr>
          <w:b/>
          <w:bCs/>
          <w:sz w:val="22"/>
          <w:szCs w:val="22"/>
          <w:lang w:val="en-GB"/>
        </w:rPr>
        <w:t>.</w:t>
      </w:r>
      <w:r w:rsidRPr="00F22459">
        <w:rPr>
          <w:b/>
          <w:bCs/>
          <w:sz w:val="22"/>
          <w:szCs w:val="22"/>
          <w:lang w:val="en-GB"/>
        </w:rPr>
        <w:t xml:space="preserve"> </w:t>
      </w:r>
      <w:r w:rsidR="00F73416" w:rsidRPr="00D24919">
        <w:rPr>
          <w:b/>
          <w:bCs/>
          <w:sz w:val="22"/>
          <w:szCs w:val="22"/>
          <w:lang w:val="en-GB"/>
        </w:rPr>
        <w:t xml:space="preserve">Under the JURE project, technical support and coordination with other stakeholders </w:t>
      </w:r>
      <w:r w:rsidR="00F22459" w:rsidRPr="00D24919">
        <w:rPr>
          <w:b/>
          <w:bCs/>
          <w:sz w:val="22"/>
          <w:szCs w:val="22"/>
          <w:lang w:val="en-GB"/>
        </w:rPr>
        <w:t xml:space="preserve">facilitated </w:t>
      </w:r>
      <w:r w:rsidR="00F22459" w:rsidRPr="00F22459">
        <w:rPr>
          <w:b/>
          <w:bCs/>
          <w:sz w:val="22"/>
          <w:szCs w:val="22"/>
          <w:lang w:val="en-GB"/>
        </w:rPr>
        <w:t>a</w:t>
      </w:r>
      <w:r w:rsidRPr="00F22459">
        <w:rPr>
          <w:b/>
          <w:bCs/>
          <w:sz w:val="22"/>
          <w:szCs w:val="22"/>
          <w:lang w:val="en-GB"/>
        </w:rPr>
        <w:t xml:space="preserve"> coordinated approach to addressing child-related cases, with templates and tools developed for routine data collection and decision-making improvements</w:t>
      </w:r>
      <w:r w:rsidR="00BC3B53" w:rsidRPr="00F22459">
        <w:rPr>
          <w:b/>
          <w:bCs/>
          <w:sz w:val="22"/>
          <w:szCs w:val="22"/>
          <w:lang w:val="en-GB"/>
        </w:rPr>
        <w:t>.</w:t>
      </w:r>
    </w:p>
    <w:p w14:paraId="43BB7AC1" w14:textId="7AB9D749" w:rsidR="00BC3B53" w:rsidRPr="007A5C5F" w:rsidRDefault="00BC3B53" w:rsidP="00CB2C17">
      <w:pPr>
        <w:pStyle w:val="ListParagraph"/>
        <w:numPr>
          <w:ilvl w:val="0"/>
          <w:numId w:val="49"/>
        </w:numPr>
        <w:adjustRightInd/>
        <w:snapToGrid/>
        <w:spacing w:after="0"/>
        <w:jc w:val="both"/>
        <w:rPr>
          <w:sz w:val="22"/>
          <w:szCs w:val="22"/>
          <w:lang w:val="en-GB"/>
        </w:rPr>
      </w:pPr>
      <w:r w:rsidRPr="007A5C5F">
        <w:rPr>
          <w:sz w:val="22"/>
          <w:szCs w:val="22"/>
          <w:lang w:val="en-GB"/>
        </w:rPr>
        <w:t xml:space="preserve">In terms of </w:t>
      </w:r>
      <w:r w:rsidRPr="007A5C5F">
        <w:rPr>
          <w:rStyle w:val="Strong"/>
          <w:rFonts w:eastAsia="AppleGothic"/>
          <w:sz w:val="22"/>
          <w:szCs w:val="22"/>
          <w:lang w:val="en-GB"/>
        </w:rPr>
        <w:t>legislative and policy reforms</w:t>
      </w:r>
      <w:r w:rsidRPr="007A5C5F">
        <w:rPr>
          <w:sz w:val="22"/>
          <w:szCs w:val="22"/>
          <w:lang w:val="en-GB"/>
        </w:rPr>
        <w:t xml:space="preserve">, JURE facilitated the amendment of the </w:t>
      </w:r>
      <w:r w:rsidRPr="007A5C5F">
        <w:rPr>
          <w:rStyle w:val="Strong"/>
          <w:rFonts w:eastAsia="AppleGothic"/>
          <w:sz w:val="22"/>
          <w:szCs w:val="22"/>
          <w:lang w:val="en-GB"/>
        </w:rPr>
        <w:t>Children and Young Persons Ordinance (CYPO)</w:t>
      </w:r>
      <w:r w:rsidRPr="007A5C5F">
        <w:rPr>
          <w:sz w:val="22"/>
          <w:szCs w:val="22"/>
          <w:lang w:val="en-GB"/>
        </w:rPr>
        <w:t xml:space="preserve">, raising the protection age to 18 years, and supported revisions to the </w:t>
      </w:r>
      <w:r w:rsidRPr="007A5C5F">
        <w:rPr>
          <w:rStyle w:val="Strong"/>
          <w:rFonts w:eastAsia="AppleGothic"/>
          <w:sz w:val="22"/>
          <w:szCs w:val="22"/>
          <w:lang w:val="en-GB"/>
        </w:rPr>
        <w:t>Victim and Witness Protection Act</w:t>
      </w:r>
      <w:r w:rsidRPr="007A5C5F">
        <w:rPr>
          <w:sz w:val="22"/>
          <w:szCs w:val="22"/>
          <w:lang w:val="en-GB"/>
        </w:rPr>
        <w:t xml:space="preserve">, empowering magistrates to award exemplary compensation to victims. Collaborative efforts with the Department of Probation and the LAC expedited the release and reintegration of </w:t>
      </w:r>
      <w:r w:rsidRPr="007A5C5F">
        <w:rPr>
          <w:rStyle w:val="Strong"/>
          <w:rFonts w:eastAsia="AppleGothic"/>
          <w:sz w:val="22"/>
          <w:szCs w:val="22"/>
          <w:lang w:val="en-GB"/>
        </w:rPr>
        <w:t>10 children</w:t>
      </w:r>
      <w:r w:rsidRPr="007A5C5F">
        <w:rPr>
          <w:sz w:val="22"/>
          <w:szCs w:val="22"/>
          <w:lang w:val="en-GB"/>
        </w:rPr>
        <w:t xml:space="preserve"> from detention centers, demonstrating tangible outcomes in justice delivery. The project introduced </w:t>
      </w:r>
      <w:r w:rsidRPr="007A5C5F">
        <w:rPr>
          <w:rStyle w:val="Strong"/>
          <w:rFonts w:eastAsia="AppleGothic"/>
          <w:sz w:val="22"/>
          <w:szCs w:val="22"/>
          <w:lang w:val="en-GB"/>
        </w:rPr>
        <w:t>innovative practices</w:t>
      </w:r>
      <w:r w:rsidRPr="007A5C5F">
        <w:rPr>
          <w:sz w:val="22"/>
          <w:szCs w:val="22"/>
          <w:lang w:val="en-GB"/>
        </w:rPr>
        <w:t xml:space="preserve">, including tools and templates to close routine data collection gaps, enabling data-driven decision-making. </w:t>
      </w:r>
      <w:r w:rsidR="006C5CC9" w:rsidRPr="006C5CC9">
        <w:rPr>
          <w:sz w:val="22"/>
          <w:szCs w:val="22"/>
        </w:rPr>
        <w:t xml:space="preserve">The establishment of the Child Rights Unit at HRC is a key contribution of JURE, demonstrating the government's commitment to specializing in children's rights. It equips the institution with a dedicated and continuous child rights monitoring function—an oversight mechanism that previously did not exist within the </w:t>
      </w:r>
      <w:r w:rsidR="00EC57B7" w:rsidRPr="006C5CC9">
        <w:rPr>
          <w:sz w:val="22"/>
          <w:szCs w:val="22"/>
        </w:rPr>
        <w:t>HR.</w:t>
      </w:r>
      <w:r w:rsidR="00EC57B7">
        <w:rPr>
          <w:sz w:val="22"/>
          <w:szCs w:val="22"/>
        </w:rPr>
        <w:t xml:space="preserve"> </w:t>
      </w:r>
      <w:r w:rsidR="00EC57B7" w:rsidRPr="006C5CC9">
        <w:rPr>
          <w:sz w:val="22"/>
          <w:szCs w:val="22"/>
        </w:rPr>
        <w:t>This</w:t>
      </w:r>
      <w:r w:rsidR="006C5CC9" w:rsidRPr="006C5CC9">
        <w:rPr>
          <w:sz w:val="22"/>
          <w:szCs w:val="22"/>
        </w:rPr>
        <w:t xml:space="preserve"> is expected to enhance the systematic collection of administrative data, ensuring proper disaggregation by age, gender, disability status, and other key variables. Such improvements are critical for comprehensive data analysis and evidence-based policy-making.</w:t>
      </w:r>
      <w:r w:rsidR="006C5CC9" w:rsidRPr="007A5C5F">
        <w:rPr>
          <w:sz w:val="22"/>
          <w:szCs w:val="22"/>
          <w:lang w:val="en-GB"/>
        </w:rPr>
        <w:t xml:space="preserve"> The</w:t>
      </w:r>
      <w:r w:rsidRPr="007A5C5F">
        <w:rPr>
          <w:sz w:val="22"/>
          <w:szCs w:val="22"/>
          <w:lang w:val="en-GB"/>
        </w:rPr>
        <w:t xml:space="preserve"> establishment of the </w:t>
      </w:r>
      <w:r w:rsidRPr="007A5C5F">
        <w:rPr>
          <w:rStyle w:val="Strong"/>
          <w:rFonts w:eastAsia="AppleGothic"/>
          <w:sz w:val="22"/>
          <w:szCs w:val="22"/>
          <w:lang w:val="en-GB"/>
        </w:rPr>
        <w:t>Children’s Desk at the HRC</w:t>
      </w:r>
      <w:r w:rsidRPr="007A5C5F">
        <w:rPr>
          <w:sz w:val="22"/>
          <w:szCs w:val="22"/>
          <w:lang w:val="en-GB"/>
        </w:rPr>
        <w:t xml:space="preserve"> has improved responses to violations of children’s rights, with 325 complaints, including cases of corporal punishment and torture, currently under investigation. </w:t>
      </w:r>
    </w:p>
    <w:p w14:paraId="414444F3" w14:textId="77777777" w:rsidR="00BC3B53" w:rsidRPr="007A5C5F" w:rsidRDefault="00BC3B53" w:rsidP="00E41934">
      <w:pPr>
        <w:jc w:val="both"/>
        <w:rPr>
          <w:b/>
          <w:bCs/>
          <w:sz w:val="22"/>
          <w:szCs w:val="22"/>
          <w:lang w:val="en-GB"/>
        </w:rPr>
      </w:pPr>
    </w:p>
    <w:p w14:paraId="29DE97A3" w14:textId="77777777" w:rsidR="00A6714C" w:rsidRPr="007A5C5F" w:rsidRDefault="00A6714C" w:rsidP="00A6714C">
      <w:pPr>
        <w:pStyle w:val="Heading2"/>
        <w:rPr>
          <w:rFonts w:ascii="Times New Roman" w:hAnsi="Times New Roman" w:cs="Times New Roman"/>
          <w:lang w:val="en-GB"/>
        </w:rPr>
      </w:pPr>
      <w:bookmarkStart w:id="23" w:name="_Toc188348262"/>
      <w:r w:rsidRPr="007A5C5F">
        <w:rPr>
          <w:rFonts w:ascii="Times New Roman" w:hAnsi="Times New Roman" w:cs="Times New Roman"/>
          <w:lang w:val="en-GB"/>
        </w:rPr>
        <w:t>Progress Towards Impact</w:t>
      </w:r>
      <w:bookmarkEnd w:id="23"/>
    </w:p>
    <w:p w14:paraId="5BA30471" w14:textId="77777777" w:rsidR="00A6714C" w:rsidRPr="00ED60BB" w:rsidRDefault="00A6714C" w:rsidP="009349DB">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Are there early signs that the project is achieving its intended impact, particularly in terms of improving access to justice for vulnerable populations?</w:t>
      </w:r>
    </w:p>
    <w:p w14:paraId="17EE48A8" w14:textId="77777777" w:rsidR="00A6714C" w:rsidRPr="00ED60BB" w:rsidRDefault="00A6714C" w:rsidP="009349DB">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How do the output-level achievements contribute to the overall outcomes and goals of the project?</w:t>
      </w:r>
    </w:p>
    <w:p w14:paraId="2A2B88BE" w14:textId="77777777" w:rsidR="005961C3" w:rsidRPr="00ED60BB" w:rsidRDefault="005961C3" w:rsidP="005961C3">
      <w:pPr>
        <w:pStyle w:val="ListParagraph"/>
        <w:numPr>
          <w:ilvl w:val="0"/>
          <w:numId w:val="0"/>
        </w:numPr>
        <w:adjustRightInd/>
        <w:snapToGrid/>
        <w:spacing w:after="0"/>
        <w:ind w:left="720"/>
        <w:rPr>
          <w:b/>
          <w:bCs/>
          <w:i/>
          <w:iCs/>
          <w:color w:val="70AD47" w:themeColor="accent6"/>
          <w:sz w:val="22"/>
          <w:szCs w:val="22"/>
          <w:lang w:val="en-GB"/>
        </w:rPr>
      </w:pPr>
    </w:p>
    <w:tbl>
      <w:tblPr>
        <w:tblStyle w:val="IESTable"/>
        <w:tblW w:w="0" w:type="auto"/>
        <w:tblLook w:val="04A0" w:firstRow="1" w:lastRow="0" w:firstColumn="1" w:lastColumn="0" w:noHBand="0" w:noVBand="1"/>
      </w:tblPr>
      <w:tblGrid>
        <w:gridCol w:w="9580"/>
      </w:tblGrid>
      <w:tr w:rsidR="005961C3" w:rsidRPr="00ED60BB" w14:paraId="6994CAD8" w14:textId="77777777" w:rsidTr="00DE11D6">
        <w:trPr>
          <w:cnfStyle w:val="100000000000" w:firstRow="1" w:lastRow="0" w:firstColumn="0" w:lastColumn="0" w:oddVBand="0" w:evenVBand="0" w:oddHBand="0" w:evenHBand="0" w:firstRowFirstColumn="0" w:firstRowLastColumn="0" w:lastRowFirstColumn="0" w:lastRowLastColumn="0"/>
        </w:trPr>
        <w:tc>
          <w:tcPr>
            <w:tcW w:w="9580" w:type="dxa"/>
          </w:tcPr>
          <w:p w14:paraId="09ED2443" w14:textId="11A8B213" w:rsidR="005961C3" w:rsidRPr="00ED60BB" w:rsidRDefault="005961C3" w:rsidP="005961C3">
            <w:pPr>
              <w:adjustRightInd w:val="0"/>
              <w:snapToGrid w:val="0"/>
              <w:spacing w:after="120"/>
              <w:rPr>
                <w:szCs w:val="22"/>
                <w:lang w:val="en-GB"/>
              </w:rPr>
            </w:pPr>
            <w:r w:rsidRPr="00ED60BB">
              <w:rPr>
                <w:b/>
                <w:szCs w:val="22"/>
                <w:lang w:val="en-GB"/>
              </w:rPr>
              <w:t>Rationale</w:t>
            </w:r>
            <w:r w:rsidRPr="00ED60BB">
              <w:rPr>
                <w:szCs w:val="22"/>
                <w:lang w:val="en-GB"/>
              </w:rPr>
              <w:t>: This criterion assesses whether the project's outputs are translating into meaningful outcomes and long-term impacts, particularly in improving justice access and institutional accountability. Early indications of positive impact are critical for determining the project's trajectory.</w:t>
            </w:r>
          </w:p>
        </w:tc>
      </w:tr>
    </w:tbl>
    <w:p w14:paraId="35FCD0B4" w14:textId="77777777" w:rsidR="00257F0A" w:rsidRPr="007A5C5F" w:rsidRDefault="00257F0A" w:rsidP="00257F0A">
      <w:pPr>
        <w:rPr>
          <w:lang w:val="en-GB"/>
        </w:rPr>
      </w:pPr>
    </w:p>
    <w:p w14:paraId="12FF5A26" w14:textId="0A91F7EB" w:rsidR="00A62EBA" w:rsidRPr="007A5C5F" w:rsidRDefault="00257F0A" w:rsidP="00257F0A">
      <w:pPr>
        <w:pStyle w:val="ListParagraph"/>
        <w:numPr>
          <w:ilvl w:val="0"/>
          <w:numId w:val="49"/>
        </w:numPr>
        <w:adjustRightInd/>
        <w:snapToGrid/>
        <w:spacing w:after="0"/>
        <w:jc w:val="both"/>
        <w:rPr>
          <w:b/>
          <w:bCs/>
          <w:sz w:val="22"/>
          <w:szCs w:val="22"/>
          <w:lang w:val="en-GB"/>
        </w:rPr>
      </w:pPr>
      <w:r w:rsidRPr="007A5C5F">
        <w:rPr>
          <w:b/>
          <w:bCs/>
          <w:sz w:val="22"/>
          <w:szCs w:val="22"/>
          <w:lang w:val="en-GB"/>
        </w:rPr>
        <w:t xml:space="preserve">Finding </w:t>
      </w:r>
      <w:r w:rsidR="00355BD2" w:rsidRPr="007A5C5F">
        <w:rPr>
          <w:b/>
          <w:bCs/>
          <w:sz w:val="22"/>
          <w:szCs w:val="22"/>
          <w:lang w:val="en-GB"/>
        </w:rPr>
        <w:t>10</w:t>
      </w:r>
      <w:r w:rsidRPr="007A5C5F">
        <w:rPr>
          <w:b/>
          <w:bCs/>
          <w:sz w:val="22"/>
          <w:szCs w:val="22"/>
          <w:lang w:val="en-GB"/>
        </w:rPr>
        <w:t xml:space="preserve">: </w:t>
      </w:r>
      <w:r w:rsidR="00A93150" w:rsidRPr="007A5C5F">
        <w:rPr>
          <w:b/>
          <w:bCs/>
          <w:sz w:val="22"/>
          <w:szCs w:val="22"/>
          <w:lang w:val="en-GB"/>
        </w:rPr>
        <w:t>J</w:t>
      </w:r>
      <w:r w:rsidR="00E41934" w:rsidRPr="007A5C5F">
        <w:rPr>
          <w:b/>
          <w:bCs/>
          <w:sz w:val="22"/>
          <w:szCs w:val="22"/>
          <w:lang w:val="en-GB"/>
        </w:rPr>
        <w:t xml:space="preserve">URE’s progress from January to </w:t>
      </w:r>
      <w:r w:rsidR="00111021">
        <w:rPr>
          <w:b/>
          <w:bCs/>
          <w:sz w:val="22"/>
          <w:szCs w:val="22"/>
          <w:lang w:val="en-GB"/>
        </w:rPr>
        <w:t xml:space="preserve">May </w:t>
      </w:r>
      <w:r w:rsidR="00E41934" w:rsidRPr="007A5C5F">
        <w:rPr>
          <w:b/>
          <w:bCs/>
          <w:sz w:val="22"/>
          <w:szCs w:val="22"/>
          <w:lang w:val="en-GB"/>
        </w:rPr>
        <w:t xml:space="preserve">2024 demonstrates its impactful role in fostering systemic reforms, modernizing justice institutions, and enhancing their capacity to implement critical changes. The results emphasize the need for sustained support to scale and consolidate these </w:t>
      </w:r>
      <w:r w:rsidR="00A93150" w:rsidRPr="007A5C5F">
        <w:rPr>
          <w:b/>
          <w:bCs/>
          <w:sz w:val="22"/>
          <w:szCs w:val="22"/>
          <w:lang w:val="en-GB"/>
        </w:rPr>
        <w:t xml:space="preserve">achievements. </w:t>
      </w:r>
    </w:p>
    <w:p w14:paraId="494EC9A5" w14:textId="7CFD6208" w:rsidR="00CC4596" w:rsidRPr="00D24919" w:rsidRDefault="00A93150" w:rsidP="00111021">
      <w:pPr>
        <w:pStyle w:val="ListParagraph"/>
        <w:numPr>
          <w:ilvl w:val="0"/>
          <w:numId w:val="49"/>
        </w:numPr>
        <w:adjustRightInd/>
        <w:snapToGrid/>
        <w:spacing w:after="0"/>
        <w:jc w:val="both"/>
        <w:rPr>
          <w:sz w:val="22"/>
          <w:szCs w:val="22"/>
          <w:lang w:val="en-GB"/>
        </w:rPr>
      </w:pPr>
      <w:r w:rsidRPr="00111021">
        <w:rPr>
          <w:sz w:val="22"/>
          <w:szCs w:val="22"/>
          <w:lang w:val="en-GB"/>
        </w:rPr>
        <w:t>As reported by representatives of CIABOC for the period of 2023–2024, the JURE program has been instrumental in strengthening anti-corruption measures in Sri Lanka, driving systemic change, and enhancing public trust and institutional efficiency.</w:t>
      </w:r>
      <w:r w:rsidR="00111021" w:rsidRPr="00D24919">
        <w:rPr>
          <w:sz w:val="22"/>
          <w:szCs w:val="22"/>
          <w:lang w:val="en-GB"/>
        </w:rPr>
        <w:t xml:space="preserve"> They acknowledged the importance of the allocated budget, especially during the economic crisis, but noted that the implementation of the NAP 2020–2023 was hindered by political changes and COVID-19. While they successfully conducted training for CPOs, Integrity Officers, and government officials, they were unable to deliver the ART competition. The reduction in duration impacted the project, as no alternative funding was available</w:t>
      </w:r>
      <w:r w:rsidR="00111021">
        <w:rPr>
          <w:sz w:val="22"/>
          <w:szCs w:val="22"/>
          <w:lang w:val="en-GB"/>
        </w:rPr>
        <w:t xml:space="preserve"> at the time</w:t>
      </w:r>
      <w:r w:rsidR="00111021" w:rsidRPr="00D24919">
        <w:rPr>
          <w:sz w:val="22"/>
          <w:szCs w:val="22"/>
          <w:lang w:val="en-GB"/>
        </w:rPr>
        <w:t xml:space="preserve">. However, the first and second pillars of the NAP were implemented, and with UNDP’s support, an international expert </w:t>
      </w:r>
      <w:r w:rsidR="00111021">
        <w:rPr>
          <w:sz w:val="22"/>
          <w:szCs w:val="22"/>
          <w:lang w:val="en-GB"/>
        </w:rPr>
        <w:t xml:space="preserve">provided by JURE </w:t>
      </w:r>
      <w:r w:rsidR="00111021" w:rsidRPr="00D24919">
        <w:rPr>
          <w:sz w:val="22"/>
          <w:szCs w:val="22"/>
          <w:lang w:val="en-GB"/>
        </w:rPr>
        <w:t>a corruption assessment</w:t>
      </w:r>
      <w:r w:rsidR="00111021">
        <w:rPr>
          <w:sz w:val="22"/>
          <w:szCs w:val="22"/>
          <w:lang w:val="en-GB"/>
        </w:rPr>
        <w:t xml:space="preserve"> was </w:t>
      </w:r>
      <w:r w:rsidR="00C63A0D">
        <w:rPr>
          <w:sz w:val="22"/>
          <w:szCs w:val="22"/>
          <w:lang w:val="en-GB"/>
        </w:rPr>
        <w:t>initiated</w:t>
      </w:r>
      <w:r w:rsidR="00111021" w:rsidRPr="00D24919">
        <w:rPr>
          <w:sz w:val="22"/>
          <w:szCs w:val="22"/>
          <w:lang w:val="en-GB"/>
        </w:rPr>
        <w:t>.</w:t>
      </w:r>
      <w:r w:rsidR="00111021">
        <w:rPr>
          <w:sz w:val="22"/>
          <w:szCs w:val="22"/>
          <w:lang w:val="en-GB"/>
        </w:rPr>
        <w:t xml:space="preserve"> </w:t>
      </w:r>
      <w:r w:rsidR="00317AB7" w:rsidRPr="00D24919">
        <w:rPr>
          <w:sz w:val="22"/>
          <w:szCs w:val="22"/>
          <w:lang w:val="en-GB"/>
        </w:rPr>
        <w:t xml:space="preserve">Public engagement has also seen a notable </w:t>
      </w:r>
      <w:r w:rsidR="00317AB7" w:rsidRPr="00D24919">
        <w:rPr>
          <w:sz w:val="22"/>
          <w:szCs w:val="22"/>
          <w:lang w:val="en-GB"/>
        </w:rPr>
        <w:lastRenderedPageBreak/>
        <w:t xml:space="preserve">increase, with </w:t>
      </w:r>
      <w:r w:rsidR="00317AB7" w:rsidRPr="00D24919">
        <w:rPr>
          <w:b/>
          <w:bCs/>
          <w:sz w:val="22"/>
          <w:szCs w:val="22"/>
          <w:lang w:val="en-GB"/>
        </w:rPr>
        <w:t>complaints projected to exceed 4,000 in 2024</w:t>
      </w:r>
      <w:r w:rsidR="00317AB7" w:rsidRPr="007A5C5F">
        <w:rPr>
          <w:rStyle w:val="FootnoteReference"/>
          <w:b/>
          <w:bCs/>
          <w:sz w:val="22"/>
          <w:szCs w:val="22"/>
          <w:lang w:val="en-GB"/>
        </w:rPr>
        <w:footnoteReference w:id="69"/>
      </w:r>
      <w:r w:rsidR="00317AB7" w:rsidRPr="00D24919">
        <w:rPr>
          <w:sz w:val="22"/>
          <w:szCs w:val="22"/>
          <w:lang w:val="en-GB"/>
        </w:rPr>
        <w:t>.</w:t>
      </w:r>
      <w:r w:rsidR="00317AB7" w:rsidRPr="00111021">
        <w:rPr>
          <w:lang w:val="en-GB"/>
        </w:rPr>
        <w:t xml:space="preserve"> </w:t>
      </w:r>
      <w:r w:rsidR="00317AB7" w:rsidRPr="00D24919">
        <w:rPr>
          <w:sz w:val="22"/>
          <w:szCs w:val="22"/>
          <w:lang w:val="en-GB"/>
        </w:rPr>
        <w:t xml:space="preserve">The introduction of the </w:t>
      </w:r>
      <w:r w:rsidR="00317AB7" w:rsidRPr="00D24919">
        <w:rPr>
          <w:b/>
          <w:bCs/>
          <w:sz w:val="22"/>
          <w:szCs w:val="22"/>
          <w:lang w:val="en-GB"/>
        </w:rPr>
        <w:t>Anti-Corruption Act 2023</w:t>
      </w:r>
      <w:r w:rsidR="00317AB7" w:rsidRPr="00D24919">
        <w:rPr>
          <w:sz w:val="22"/>
          <w:szCs w:val="22"/>
          <w:lang w:val="en-GB"/>
        </w:rPr>
        <w:t xml:space="preserve"> has led to </w:t>
      </w:r>
      <w:r w:rsidR="00317AB7" w:rsidRPr="00D24919">
        <w:rPr>
          <w:b/>
          <w:bCs/>
          <w:sz w:val="22"/>
          <w:szCs w:val="22"/>
          <w:lang w:val="en-GB"/>
        </w:rPr>
        <w:t xml:space="preserve">a notable increase in reported cases of private sector bribery, </w:t>
      </w:r>
      <w:r w:rsidR="007A5C5F" w:rsidRPr="00D24919">
        <w:rPr>
          <w:b/>
          <w:bCs/>
          <w:sz w:val="22"/>
          <w:szCs w:val="22"/>
          <w:lang w:val="en-GB"/>
        </w:rPr>
        <w:t>signalling</w:t>
      </w:r>
      <w:r w:rsidR="00317AB7" w:rsidRPr="00D24919">
        <w:rPr>
          <w:b/>
          <w:bCs/>
          <w:sz w:val="22"/>
          <w:szCs w:val="22"/>
          <w:lang w:val="en-GB"/>
        </w:rPr>
        <w:t xml:space="preserve"> a significant shift from previous anti-corruption measures.</w:t>
      </w:r>
      <w:r w:rsidR="00317AB7" w:rsidRPr="00D24919">
        <w:rPr>
          <w:sz w:val="22"/>
          <w:szCs w:val="22"/>
          <w:lang w:val="en-GB"/>
        </w:rPr>
        <w:t xml:space="preserve"> This legislative reform has expanded the scope of accountability, emphasizing the importance of tackling corruption within the private sector alongside public institutions.</w:t>
      </w:r>
    </w:p>
    <w:p w14:paraId="47C70F67" w14:textId="2A56FB87" w:rsidR="00317AB7" w:rsidRPr="007A5C5F" w:rsidRDefault="00317AB7" w:rsidP="00AD0F94">
      <w:pPr>
        <w:pStyle w:val="ListParagraph"/>
        <w:numPr>
          <w:ilvl w:val="0"/>
          <w:numId w:val="49"/>
        </w:numPr>
        <w:adjustRightInd/>
        <w:snapToGrid/>
        <w:spacing w:after="0"/>
        <w:jc w:val="both"/>
        <w:rPr>
          <w:sz w:val="22"/>
          <w:szCs w:val="22"/>
          <w:lang w:val="en-GB"/>
        </w:rPr>
      </w:pPr>
      <w:r w:rsidRPr="007A5C5F">
        <w:rPr>
          <w:sz w:val="22"/>
          <w:szCs w:val="22"/>
          <w:lang w:val="en-GB"/>
        </w:rPr>
        <w:t xml:space="preserve">This growth reflects the </w:t>
      </w:r>
      <w:r w:rsidRPr="007A5C5F">
        <w:rPr>
          <w:b/>
          <w:bCs/>
          <w:sz w:val="22"/>
          <w:szCs w:val="22"/>
          <w:lang w:val="en-GB"/>
        </w:rPr>
        <w:t>public’s increasing trust in CIABOC’s anti-corruption mechanisms</w:t>
      </w:r>
      <w:r w:rsidRPr="007A5C5F">
        <w:rPr>
          <w:sz w:val="22"/>
          <w:szCs w:val="22"/>
          <w:lang w:val="en-GB"/>
        </w:rPr>
        <w:t xml:space="preserve">. Enhanced complaint-handling </w:t>
      </w:r>
      <w:proofErr w:type="gramStart"/>
      <w:r w:rsidRPr="007A5C5F">
        <w:rPr>
          <w:sz w:val="22"/>
          <w:szCs w:val="22"/>
          <w:lang w:val="en-GB"/>
        </w:rPr>
        <w:t>processes</w:t>
      </w:r>
      <w:proofErr w:type="gramEnd"/>
      <w:r w:rsidRPr="007A5C5F">
        <w:rPr>
          <w:sz w:val="22"/>
          <w:szCs w:val="22"/>
          <w:lang w:val="en-GB"/>
        </w:rPr>
        <w:t xml:space="preserve"> and targeted awareness campaigns have improved the quality and consistency of public reports, empowering citizens to take a more active role in combating corruption.</w:t>
      </w:r>
    </w:p>
    <w:p w14:paraId="2C6B20CD" w14:textId="765C7155" w:rsidR="00317AB7" w:rsidRPr="007A5C5F" w:rsidRDefault="00317AB7" w:rsidP="00AD0F94">
      <w:pPr>
        <w:pStyle w:val="ListParagraph"/>
        <w:numPr>
          <w:ilvl w:val="0"/>
          <w:numId w:val="49"/>
        </w:numPr>
        <w:adjustRightInd/>
        <w:snapToGrid/>
        <w:spacing w:after="0"/>
        <w:jc w:val="both"/>
        <w:rPr>
          <w:sz w:val="22"/>
          <w:szCs w:val="22"/>
          <w:lang w:val="en-GB"/>
        </w:rPr>
      </w:pPr>
      <w:r w:rsidRPr="007A5C5F">
        <w:rPr>
          <w:b/>
          <w:bCs/>
          <w:sz w:val="22"/>
          <w:szCs w:val="22"/>
          <w:lang w:val="en-GB"/>
        </w:rPr>
        <w:t>Operational and judicial efficiency</w:t>
      </w:r>
      <w:r w:rsidRPr="007A5C5F">
        <w:rPr>
          <w:sz w:val="22"/>
          <w:szCs w:val="22"/>
          <w:lang w:val="en-GB"/>
        </w:rPr>
        <w:t xml:space="preserve"> has markedly improved, as demonstrated by a </w:t>
      </w:r>
      <w:r w:rsidRPr="007A5C5F">
        <w:rPr>
          <w:b/>
          <w:bCs/>
          <w:sz w:val="22"/>
          <w:szCs w:val="22"/>
          <w:lang w:val="en-GB"/>
        </w:rPr>
        <w:t>30.9% rise in raids, a 58.1% increase in arrests, and an improved conviction rate of 33.3% over the reporting period</w:t>
      </w:r>
      <w:r w:rsidR="00F73416">
        <w:rPr>
          <w:rStyle w:val="FootnoteReference"/>
          <w:b/>
          <w:bCs/>
          <w:sz w:val="22"/>
          <w:szCs w:val="22"/>
          <w:lang w:val="en-GB"/>
        </w:rPr>
        <w:footnoteReference w:id="70"/>
      </w:r>
      <w:r w:rsidRPr="007A5C5F">
        <w:rPr>
          <w:sz w:val="22"/>
          <w:szCs w:val="22"/>
          <w:lang w:val="en-GB"/>
        </w:rPr>
        <w:t xml:space="preserve">. These outcomes underscore the enhanced capacity of investigative and judicial institutions to </w:t>
      </w:r>
      <w:r w:rsidRPr="007A5C5F">
        <w:rPr>
          <w:b/>
          <w:bCs/>
          <w:sz w:val="22"/>
          <w:szCs w:val="22"/>
          <w:lang w:val="en-GB"/>
        </w:rPr>
        <w:t>address corruption effectively.</w:t>
      </w:r>
      <w:r w:rsidRPr="007A5C5F">
        <w:rPr>
          <w:sz w:val="22"/>
          <w:szCs w:val="22"/>
          <w:lang w:val="en-GB"/>
        </w:rPr>
        <w:t xml:space="preserve"> Together, these advancements reflect JURE’s vital contribution to strengthening Sri Lanka’s anti-corruption framework, fostering transparency, and reinforcing public confidence in governance.</w:t>
      </w:r>
    </w:p>
    <w:p w14:paraId="3D19BA84" w14:textId="2784D853" w:rsidR="00A93150" w:rsidRPr="007A5C5F" w:rsidRDefault="00317AB7" w:rsidP="00355BD2">
      <w:pPr>
        <w:pStyle w:val="ListParagraph"/>
        <w:numPr>
          <w:ilvl w:val="0"/>
          <w:numId w:val="49"/>
        </w:numPr>
        <w:adjustRightInd/>
        <w:snapToGrid/>
        <w:spacing w:after="0"/>
        <w:jc w:val="both"/>
        <w:rPr>
          <w:sz w:val="22"/>
          <w:szCs w:val="22"/>
          <w:lang w:val="en-GB"/>
        </w:rPr>
      </w:pPr>
      <w:r w:rsidRPr="007A5C5F">
        <w:rPr>
          <w:b/>
          <w:bCs/>
          <w:sz w:val="22"/>
          <w:szCs w:val="22"/>
          <w:lang w:val="en-GB"/>
        </w:rPr>
        <w:t>Conviction rates increased from 20.83% in 2022 to 33.93% in 2024</w:t>
      </w:r>
      <w:r w:rsidRPr="007A5C5F">
        <w:rPr>
          <w:sz w:val="22"/>
          <w:szCs w:val="22"/>
          <w:lang w:val="en-GB"/>
        </w:rPr>
        <w:t xml:space="preserve">, reflecting a marked </w:t>
      </w:r>
      <w:r w:rsidRPr="007A5C5F">
        <w:rPr>
          <w:b/>
          <w:bCs/>
          <w:sz w:val="22"/>
          <w:szCs w:val="22"/>
          <w:lang w:val="en-GB"/>
        </w:rPr>
        <w:t>improvement in prosecutorial capabilities</w:t>
      </w:r>
      <w:r w:rsidRPr="007A5C5F">
        <w:rPr>
          <w:sz w:val="22"/>
          <w:szCs w:val="22"/>
          <w:lang w:val="en-GB"/>
        </w:rPr>
        <w:t xml:space="preserve"> attributed to the intensive training provided under the JURE program</w:t>
      </w:r>
      <w:r w:rsidRPr="007A5C5F">
        <w:rPr>
          <w:lang w:val="en-GB"/>
        </w:rPr>
        <w:footnoteReference w:id="71"/>
      </w:r>
      <w:r w:rsidRPr="007A5C5F">
        <w:rPr>
          <w:sz w:val="22"/>
          <w:szCs w:val="22"/>
          <w:lang w:val="en-GB"/>
        </w:rPr>
        <w:t>.</w:t>
      </w:r>
    </w:p>
    <w:p w14:paraId="452059A6" w14:textId="0FDC191D" w:rsidR="009349DB" w:rsidRPr="007A5C5F" w:rsidRDefault="009349DB" w:rsidP="00AD0F94">
      <w:pPr>
        <w:pStyle w:val="ListParagraph"/>
        <w:numPr>
          <w:ilvl w:val="0"/>
          <w:numId w:val="49"/>
        </w:numPr>
        <w:adjustRightInd/>
        <w:snapToGrid/>
        <w:spacing w:after="0"/>
        <w:jc w:val="both"/>
        <w:rPr>
          <w:b/>
          <w:bCs/>
          <w:sz w:val="22"/>
          <w:szCs w:val="22"/>
          <w:lang w:val="en-GB"/>
        </w:rPr>
      </w:pPr>
      <w:r w:rsidRPr="007A5C5F">
        <w:rPr>
          <w:sz w:val="22"/>
          <w:szCs w:val="22"/>
          <w:lang w:val="en-GB"/>
        </w:rPr>
        <w:t xml:space="preserve">The JURE program has driven transformative changes in Sri Lanka’s juvenile justice system, resulting in legislative advancements, systemic reforms, and tangible benefits for children and their families. These efforts have improved child protection and advanced restorative justice practices, with </w:t>
      </w:r>
      <w:r w:rsidRPr="007A5C5F">
        <w:rPr>
          <w:b/>
          <w:bCs/>
          <w:sz w:val="22"/>
          <w:szCs w:val="22"/>
          <w:lang w:val="en-GB"/>
        </w:rPr>
        <w:t>measurable outcomes demonstrating progress.</w:t>
      </w:r>
    </w:p>
    <w:p w14:paraId="18510841" w14:textId="35E48173" w:rsidR="00455A37" w:rsidRPr="00C900FD" w:rsidRDefault="00F73416" w:rsidP="00455A37">
      <w:pPr>
        <w:pStyle w:val="ListParagraph"/>
        <w:numPr>
          <w:ilvl w:val="0"/>
          <w:numId w:val="49"/>
        </w:numPr>
        <w:adjustRightInd/>
        <w:snapToGrid/>
        <w:spacing w:after="0"/>
        <w:jc w:val="both"/>
        <w:rPr>
          <w:sz w:val="22"/>
          <w:szCs w:val="22"/>
          <w:lang w:val="en-GB"/>
        </w:rPr>
      </w:pPr>
      <w:r>
        <w:rPr>
          <w:sz w:val="22"/>
          <w:szCs w:val="22"/>
        </w:rPr>
        <w:t>I</w:t>
      </w:r>
      <w:r w:rsidRPr="00F73416">
        <w:rPr>
          <w:sz w:val="22"/>
          <w:szCs w:val="22"/>
        </w:rPr>
        <w:t xml:space="preserve">n November 2022, Sri Lanka enacted significant reforms to its juvenile justice system by amending the </w:t>
      </w:r>
      <w:r w:rsidRPr="00F73416">
        <w:rPr>
          <w:b/>
          <w:bCs/>
          <w:sz w:val="22"/>
          <w:szCs w:val="22"/>
        </w:rPr>
        <w:t>Children and Young Persons Ordinance (CYPO)</w:t>
      </w:r>
      <w:r>
        <w:rPr>
          <w:sz w:val="22"/>
          <w:szCs w:val="22"/>
          <w:lang w:val="en-GB"/>
        </w:rPr>
        <w:t xml:space="preserve">. </w:t>
      </w:r>
      <w:r w:rsidR="009349DB" w:rsidRPr="007A5C5F">
        <w:rPr>
          <w:sz w:val="22"/>
          <w:szCs w:val="22"/>
          <w:lang w:val="en-GB"/>
        </w:rPr>
        <w:t xml:space="preserve">One of the most impactful reforms is the </w:t>
      </w:r>
      <w:r w:rsidR="009349DB" w:rsidRPr="007A5C5F">
        <w:rPr>
          <w:b/>
          <w:bCs/>
          <w:sz w:val="22"/>
          <w:szCs w:val="22"/>
          <w:lang w:val="en-GB"/>
        </w:rPr>
        <w:t>increase in the age limit for imprisonment from 16 to 18 years, ensuring minors are protected from harmful environments in the prison system</w:t>
      </w:r>
      <w:r w:rsidR="009349DB" w:rsidRPr="007A5C5F">
        <w:rPr>
          <w:lang w:val="en-GB"/>
        </w:rPr>
        <w:footnoteReference w:id="72"/>
      </w:r>
      <w:r w:rsidR="009349DB" w:rsidRPr="007A5C5F">
        <w:rPr>
          <w:sz w:val="22"/>
          <w:szCs w:val="22"/>
          <w:lang w:val="en-GB"/>
        </w:rPr>
        <w:t>.</w:t>
      </w:r>
      <w:r w:rsidR="006C5CC9">
        <w:rPr>
          <w:sz w:val="22"/>
          <w:szCs w:val="22"/>
          <w:lang w:val="en-GB"/>
        </w:rPr>
        <w:t xml:space="preserve"> Specifically, </w:t>
      </w:r>
      <w:r w:rsidR="006C5CC9">
        <w:rPr>
          <w:sz w:val="22"/>
          <w:szCs w:val="22"/>
        </w:rPr>
        <w:t>t</w:t>
      </w:r>
      <w:r w:rsidR="006C5CC9" w:rsidRPr="006C5CC9">
        <w:rPr>
          <w:sz w:val="22"/>
          <w:szCs w:val="22"/>
        </w:rPr>
        <w:t>he increase in the age limit from 16 to 18 through CYPO legal reform represents a fundamental shift in how children in contact with the law are treated. This change ensures that children aged 16 to 18 now benefit from legal protections within the criminal justice system that were previously limited to those under 16. More importantly, the reform prevents individuals above 18 from being incarcerated in adult prisons, instead placing them in institutions under the Department of Probation and Childcare Services (Ministry of Women and Children's Affairs). This marks a significant step toward a more rehabilitative and child-centered approach to justice.</w:t>
      </w:r>
      <w:r w:rsidR="009349DB" w:rsidRPr="007A5C5F">
        <w:rPr>
          <w:sz w:val="22"/>
          <w:szCs w:val="22"/>
          <w:lang w:val="en-GB"/>
        </w:rPr>
        <w:t xml:space="preserve"> This change aligns with international conventions, such as the UN Convention on the Rights of the </w:t>
      </w:r>
      <w:r w:rsidR="00CC4596" w:rsidRPr="007A5C5F">
        <w:rPr>
          <w:sz w:val="22"/>
          <w:szCs w:val="22"/>
          <w:lang w:val="en-GB"/>
        </w:rPr>
        <w:t>Child and</w:t>
      </w:r>
      <w:r w:rsidR="009349DB" w:rsidRPr="007A5C5F">
        <w:rPr>
          <w:sz w:val="22"/>
          <w:szCs w:val="22"/>
          <w:lang w:val="en-GB"/>
        </w:rPr>
        <w:t xml:space="preserve"> strengthens pathways for rehabilitation. </w:t>
      </w:r>
      <w:r w:rsidR="00455A37">
        <w:rPr>
          <w:sz w:val="22"/>
          <w:szCs w:val="22"/>
          <w:lang w:val="en-GB"/>
        </w:rPr>
        <w:t xml:space="preserve">The national stakeholders provided that </w:t>
      </w:r>
      <w:r w:rsidR="00455A37">
        <w:rPr>
          <w:b/>
          <w:bCs/>
          <w:sz w:val="22"/>
          <w:szCs w:val="22"/>
          <w:lang w:val="en-GB"/>
        </w:rPr>
        <w:t xml:space="preserve">these contributions have impact on </w:t>
      </w:r>
      <w:r w:rsidR="009349DB" w:rsidRPr="007A5C5F">
        <w:rPr>
          <w:b/>
          <w:bCs/>
          <w:sz w:val="22"/>
          <w:szCs w:val="22"/>
          <w:lang w:val="en-GB"/>
        </w:rPr>
        <w:t>reduction in recidivism rates among children,</w:t>
      </w:r>
      <w:r w:rsidR="009349DB" w:rsidRPr="007A5C5F">
        <w:rPr>
          <w:sz w:val="22"/>
          <w:szCs w:val="22"/>
          <w:lang w:val="en-GB"/>
        </w:rPr>
        <w:t xml:space="preserve"> </w:t>
      </w:r>
      <w:r w:rsidR="00455A37">
        <w:rPr>
          <w:sz w:val="22"/>
          <w:szCs w:val="22"/>
          <w:lang w:val="en-GB"/>
        </w:rPr>
        <w:t xml:space="preserve">because </w:t>
      </w:r>
      <w:r w:rsidR="009349DB" w:rsidRPr="007A5C5F">
        <w:rPr>
          <w:sz w:val="22"/>
          <w:szCs w:val="22"/>
          <w:lang w:val="en-GB"/>
        </w:rPr>
        <w:t>separating minors from adults in detention facilities</w:t>
      </w:r>
      <w:r w:rsidR="00455A37">
        <w:rPr>
          <w:sz w:val="22"/>
          <w:szCs w:val="22"/>
          <w:lang w:val="en-GB"/>
        </w:rPr>
        <w:t xml:space="preserve"> </w:t>
      </w:r>
      <w:r w:rsidR="009349DB" w:rsidRPr="007A5C5F">
        <w:rPr>
          <w:sz w:val="22"/>
          <w:szCs w:val="22"/>
          <w:lang w:val="en-GB"/>
        </w:rPr>
        <w:t>fosters safer and more rehabilitative environmen</w:t>
      </w:r>
      <w:r w:rsidR="00455A37">
        <w:rPr>
          <w:sz w:val="22"/>
          <w:szCs w:val="22"/>
          <w:lang w:val="en-GB"/>
        </w:rPr>
        <w:t>t</w:t>
      </w:r>
      <w:r w:rsidR="00455A37">
        <w:rPr>
          <w:rStyle w:val="FootnoteReference"/>
          <w:sz w:val="22"/>
          <w:szCs w:val="22"/>
          <w:lang w:val="en-GB"/>
        </w:rPr>
        <w:footnoteReference w:id="73"/>
      </w:r>
      <w:r w:rsidR="009349DB" w:rsidRPr="007A5C5F">
        <w:rPr>
          <w:sz w:val="22"/>
          <w:szCs w:val="22"/>
          <w:lang w:val="en-GB"/>
        </w:rPr>
        <w:t>.</w:t>
      </w:r>
      <w:r w:rsidR="00455A37">
        <w:rPr>
          <w:sz w:val="22"/>
          <w:szCs w:val="22"/>
          <w:lang w:val="en-GB"/>
        </w:rPr>
        <w:t xml:space="preserve"> </w:t>
      </w:r>
      <w:r w:rsidR="00455A37" w:rsidRPr="00455A37">
        <w:rPr>
          <w:sz w:val="22"/>
          <w:szCs w:val="22"/>
        </w:rPr>
        <w:t>However, no national data is available to corroborate this, as the CYPO amendment only came into effect in January 2024</w:t>
      </w:r>
      <w:r w:rsidR="00455A37">
        <w:rPr>
          <w:sz w:val="22"/>
          <w:szCs w:val="22"/>
        </w:rPr>
        <w:t xml:space="preserve"> and in general, a </w:t>
      </w:r>
      <w:r w:rsidR="00455A37">
        <w:t>comprehensive and up-to-date data on juvenile recidivism rates in Sri Lanka is limited. More recent analyses emphasize the importance of rehabilitation-focused juvenile justice systems, noting that such approaches lead to significantly lower recidivism rates compared to punitive methods</w:t>
      </w:r>
      <w:r w:rsidR="00455A37">
        <w:rPr>
          <w:rStyle w:val="FootnoteReference"/>
        </w:rPr>
        <w:footnoteReference w:id="74"/>
      </w:r>
      <w:r w:rsidR="00455A37">
        <w:t xml:space="preserve">. </w:t>
      </w:r>
    </w:p>
    <w:p w14:paraId="21978371" w14:textId="1A46DFE3" w:rsidR="009349DB" w:rsidRPr="00C900FD" w:rsidRDefault="009349DB" w:rsidP="00D82080">
      <w:pPr>
        <w:pStyle w:val="ListParagraph"/>
        <w:numPr>
          <w:ilvl w:val="0"/>
          <w:numId w:val="49"/>
        </w:numPr>
        <w:adjustRightInd/>
        <w:snapToGrid/>
        <w:spacing w:after="0"/>
        <w:jc w:val="both"/>
        <w:rPr>
          <w:rFonts w:ascii="Arial Narrow" w:eastAsia="Arial Narrow" w:hAnsi="Arial Narrow" w:cs="Arial Narrow"/>
        </w:rPr>
      </w:pPr>
      <w:r w:rsidRPr="007A5C5F">
        <w:rPr>
          <w:sz w:val="22"/>
          <w:szCs w:val="22"/>
          <w:lang w:val="en-GB"/>
        </w:rPr>
        <w:t>A cornerstone of these reforms</w:t>
      </w:r>
      <w:r w:rsidR="00D82080">
        <w:rPr>
          <w:sz w:val="22"/>
          <w:szCs w:val="22"/>
          <w:lang w:val="en-GB"/>
        </w:rPr>
        <w:t>,</w:t>
      </w:r>
      <w:r w:rsidRPr="007A5C5F">
        <w:rPr>
          <w:sz w:val="22"/>
          <w:szCs w:val="22"/>
          <w:lang w:val="en-GB"/>
        </w:rPr>
        <w:t xml:space="preserve"> </w:t>
      </w:r>
      <w:r w:rsidR="00D82080" w:rsidRPr="00C900FD">
        <w:rPr>
          <w:sz w:val="22"/>
          <w:szCs w:val="22"/>
          <w:lang w:val="en-GB"/>
        </w:rPr>
        <w:t>pertaining to child victims of violence, children in conflict with the law and those in need of care and protection</w:t>
      </w:r>
      <w:r w:rsidR="00D82080">
        <w:rPr>
          <w:sz w:val="22"/>
          <w:szCs w:val="22"/>
          <w:lang w:val="en-GB"/>
        </w:rPr>
        <w:t>,</w:t>
      </w:r>
      <w:r w:rsidR="00D82080" w:rsidRPr="00C900FD">
        <w:rPr>
          <w:sz w:val="22"/>
          <w:szCs w:val="22"/>
          <w:lang w:val="en-GB"/>
        </w:rPr>
        <w:t xml:space="preserve"> </w:t>
      </w:r>
      <w:r w:rsidRPr="00C900FD">
        <w:rPr>
          <w:sz w:val="22"/>
          <w:szCs w:val="22"/>
          <w:lang w:val="en-GB"/>
        </w:rPr>
        <w:t xml:space="preserve">is preventing institutionalization and facilitating family </w:t>
      </w:r>
      <w:r w:rsidR="00EC57B7" w:rsidRPr="00EC57B7">
        <w:rPr>
          <w:sz w:val="22"/>
          <w:szCs w:val="22"/>
          <w:lang w:val="en-GB"/>
        </w:rPr>
        <w:t>reunification.</w:t>
      </w:r>
      <w:r w:rsidR="00EC57B7">
        <w:rPr>
          <w:sz w:val="22"/>
          <w:szCs w:val="22"/>
          <w:lang w:val="en-GB"/>
        </w:rPr>
        <w:t xml:space="preserve"> </w:t>
      </w:r>
      <w:r w:rsidR="00EC57B7" w:rsidRPr="00EC57B7">
        <w:rPr>
          <w:sz w:val="22"/>
          <w:szCs w:val="22"/>
          <w:lang w:val="en-GB"/>
        </w:rPr>
        <w:t>This</w:t>
      </w:r>
      <w:r w:rsidR="00D82080" w:rsidRPr="00C900FD">
        <w:rPr>
          <w:sz w:val="22"/>
          <w:szCs w:val="22"/>
          <w:lang w:val="en-GB"/>
        </w:rPr>
        <w:t xml:space="preserve"> was achieved by a combination of various strategic and technical measures: strengthening the capacity of the department of probation and child care services and the judiciary through various modalities - technical assistance and capacity strengthening of personnel, development of case management tools, providing effective resources for managing cases and supporting vulnerable families, </w:t>
      </w:r>
      <w:r w:rsidR="00D82080" w:rsidRPr="00C900FD">
        <w:rPr>
          <w:sz w:val="22"/>
          <w:szCs w:val="22"/>
          <w:lang w:val="en-GB"/>
        </w:rPr>
        <w:lastRenderedPageBreak/>
        <w:t>supporting the linkages between national and provincial levels in implementing alternative care policy overall.</w:t>
      </w:r>
      <w:r w:rsidR="00D82080">
        <w:rPr>
          <w:sz w:val="22"/>
          <w:szCs w:val="22"/>
          <w:lang w:val="en-GB"/>
        </w:rPr>
        <w:t xml:space="preserve"> </w:t>
      </w:r>
      <w:r w:rsidRPr="00C900FD">
        <w:rPr>
          <w:sz w:val="22"/>
          <w:szCs w:val="22"/>
          <w:lang w:val="en-GB"/>
        </w:rPr>
        <w:t>The program has achieved the following</w:t>
      </w:r>
      <w:r w:rsidR="00CC4596" w:rsidRPr="00C900FD">
        <w:rPr>
          <w:sz w:val="22"/>
          <w:szCs w:val="22"/>
          <w:lang w:val="en-GB"/>
        </w:rPr>
        <w:t xml:space="preserve"> impactful results</w:t>
      </w:r>
      <w:r w:rsidRPr="00C900FD">
        <w:rPr>
          <w:sz w:val="22"/>
          <w:szCs w:val="22"/>
          <w:lang w:val="en-GB"/>
        </w:rPr>
        <w:t>:</w:t>
      </w:r>
    </w:p>
    <w:p w14:paraId="4C9A4B36" w14:textId="77777777" w:rsidR="009349DB" w:rsidRPr="009349DB" w:rsidRDefault="009349DB" w:rsidP="00CC4596">
      <w:pPr>
        <w:numPr>
          <w:ilvl w:val="0"/>
          <w:numId w:val="134"/>
        </w:numPr>
        <w:jc w:val="both"/>
        <w:rPr>
          <w:i/>
          <w:iCs/>
          <w:sz w:val="22"/>
          <w:szCs w:val="22"/>
          <w:lang w:val="en-GB"/>
        </w:rPr>
      </w:pPr>
      <w:r w:rsidRPr="009349DB">
        <w:rPr>
          <w:b/>
          <w:bCs/>
          <w:i/>
          <w:iCs/>
          <w:sz w:val="22"/>
          <w:szCs w:val="22"/>
          <w:lang w:val="en-GB"/>
        </w:rPr>
        <w:t>Children prevented from institutionalization</w:t>
      </w:r>
      <w:r w:rsidRPr="009349DB">
        <w:rPr>
          <w:i/>
          <w:iCs/>
          <w:sz w:val="22"/>
          <w:szCs w:val="22"/>
          <w:lang w:val="en-GB"/>
        </w:rPr>
        <w:t>: 1,371 (652 boys; 719 girls), ensuring vulnerable children avoid formal detention and receive community-based care.</w:t>
      </w:r>
    </w:p>
    <w:p w14:paraId="56442331" w14:textId="77777777" w:rsidR="009349DB" w:rsidRPr="009349DB" w:rsidRDefault="009349DB" w:rsidP="00CC4596">
      <w:pPr>
        <w:numPr>
          <w:ilvl w:val="0"/>
          <w:numId w:val="134"/>
        </w:numPr>
        <w:jc w:val="both"/>
        <w:rPr>
          <w:i/>
          <w:iCs/>
          <w:sz w:val="22"/>
          <w:szCs w:val="22"/>
          <w:lang w:val="en-GB"/>
        </w:rPr>
      </w:pPr>
      <w:r w:rsidRPr="009349DB">
        <w:rPr>
          <w:b/>
          <w:bCs/>
          <w:i/>
          <w:iCs/>
          <w:sz w:val="22"/>
          <w:szCs w:val="22"/>
          <w:lang w:val="en-GB"/>
        </w:rPr>
        <w:t>Children reunified with families from institutions</w:t>
      </w:r>
      <w:r w:rsidRPr="009349DB">
        <w:rPr>
          <w:i/>
          <w:iCs/>
          <w:sz w:val="22"/>
          <w:szCs w:val="22"/>
          <w:lang w:val="en-GB"/>
        </w:rPr>
        <w:t>: 286 (131 boys; 155 girls), promoting reintegration into family units and fostering long-term stability.</w:t>
      </w:r>
    </w:p>
    <w:p w14:paraId="0F070112" w14:textId="77777777" w:rsidR="009349DB" w:rsidRPr="009349DB" w:rsidRDefault="009349DB" w:rsidP="00CC4596">
      <w:pPr>
        <w:numPr>
          <w:ilvl w:val="0"/>
          <w:numId w:val="134"/>
        </w:numPr>
        <w:jc w:val="both"/>
        <w:rPr>
          <w:i/>
          <w:iCs/>
          <w:sz w:val="22"/>
          <w:szCs w:val="22"/>
          <w:lang w:val="en-GB"/>
        </w:rPr>
      </w:pPr>
      <w:r w:rsidRPr="009349DB">
        <w:rPr>
          <w:b/>
          <w:bCs/>
          <w:i/>
          <w:iCs/>
          <w:sz w:val="22"/>
          <w:szCs w:val="22"/>
          <w:lang w:val="en-GB"/>
        </w:rPr>
        <w:t>Reunification or early release of children from certified schools</w:t>
      </w:r>
      <w:r w:rsidRPr="009349DB">
        <w:rPr>
          <w:i/>
          <w:iCs/>
          <w:sz w:val="22"/>
          <w:szCs w:val="22"/>
          <w:lang w:val="en-GB"/>
        </w:rPr>
        <w:t>: 21 boys, supporting their return to family environments.</w:t>
      </w:r>
    </w:p>
    <w:p w14:paraId="1AC0C318" w14:textId="77777777" w:rsidR="009349DB" w:rsidRPr="009349DB" w:rsidRDefault="009349DB" w:rsidP="00CC4596">
      <w:pPr>
        <w:numPr>
          <w:ilvl w:val="0"/>
          <w:numId w:val="134"/>
        </w:numPr>
        <w:jc w:val="both"/>
        <w:rPr>
          <w:i/>
          <w:iCs/>
          <w:sz w:val="22"/>
          <w:szCs w:val="22"/>
          <w:lang w:val="en-GB"/>
        </w:rPr>
      </w:pPr>
      <w:r w:rsidRPr="009349DB">
        <w:rPr>
          <w:b/>
          <w:bCs/>
          <w:i/>
          <w:iCs/>
          <w:sz w:val="22"/>
          <w:szCs w:val="22"/>
          <w:lang w:val="en-GB"/>
        </w:rPr>
        <w:t>Families receiving assistance</w:t>
      </w:r>
      <w:r w:rsidRPr="009349DB">
        <w:rPr>
          <w:i/>
          <w:iCs/>
          <w:sz w:val="22"/>
          <w:szCs w:val="22"/>
          <w:lang w:val="en-GB"/>
        </w:rPr>
        <w:t>: 512 families, empowering caregivers to better support and reintegrate children.</w:t>
      </w:r>
    </w:p>
    <w:p w14:paraId="700921FE" w14:textId="2C07C967" w:rsidR="009349DB" w:rsidRPr="007A5C5F" w:rsidRDefault="009349DB" w:rsidP="00AD0F94">
      <w:pPr>
        <w:pStyle w:val="ListParagraph"/>
        <w:numPr>
          <w:ilvl w:val="0"/>
          <w:numId w:val="49"/>
        </w:numPr>
        <w:adjustRightInd/>
        <w:snapToGrid/>
        <w:spacing w:after="0"/>
        <w:jc w:val="both"/>
        <w:rPr>
          <w:sz w:val="22"/>
          <w:szCs w:val="22"/>
          <w:lang w:val="en-GB"/>
        </w:rPr>
      </w:pPr>
      <w:r w:rsidRPr="007A5C5F">
        <w:rPr>
          <w:sz w:val="22"/>
          <w:szCs w:val="22"/>
          <w:lang w:val="en-GB"/>
        </w:rPr>
        <w:t xml:space="preserve">The program’s efforts have also contributed to a </w:t>
      </w:r>
      <w:r w:rsidRPr="007A5C5F">
        <w:rPr>
          <w:b/>
          <w:bCs/>
          <w:sz w:val="22"/>
          <w:szCs w:val="22"/>
          <w:lang w:val="en-GB"/>
        </w:rPr>
        <w:t>shift in societal perceptions</w:t>
      </w:r>
      <w:r w:rsidRPr="007A5C5F">
        <w:rPr>
          <w:sz w:val="22"/>
          <w:szCs w:val="22"/>
          <w:lang w:val="en-GB"/>
        </w:rPr>
        <w:t xml:space="preserve"> toward children in conflict with the law. Advocacy and awareness campaigns have fostered greater acceptance of rehabilitative and restorative justice approaches, moving away from punitive measures and reducing </w:t>
      </w:r>
      <w:r w:rsidR="00D82080" w:rsidRPr="007A5C5F">
        <w:rPr>
          <w:sz w:val="22"/>
          <w:szCs w:val="22"/>
          <w:lang w:val="en-GB"/>
        </w:rPr>
        <w:t>stigma.</w:t>
      </w:r>
      <w:r w:rsidR="00D82080">
        <w:rPr>
          <w:sz w:val="22"/>
          <w:szCs w:val="22"/>
          <w:lang w:val="en-GB"/>
        </w:rPr>
        <w:t xml:space="preserve"> For example, </w:t>
      </w:r>
      <w:r w:rsidR="00D82080">
        <w:rPr>
          <w:sz w:val="22"/>
          <w:szCs w:val="22"/>
        </w:rPr>
        <w:t>t</w:t>
      </w:r>
      <w:r w:rsidR="00D82080" w:rsidRPr="00D82080">
        <w:rPr>
          <w:sz w:val="22"/>
          <w:szCs w:val="22"/>
        </w:rPr>
        <w:t>he project engaged with judges responsible for sentencing children, organizing visits to detention facilities to evaluate their living conditions, the atmosphere, and the extent to which the environment supports rehabilitation. Witnessing these realities firsthand led several judges to reconsider their approach, resulting in adjustments to their sentencing practices</w:t>
      </w:r>
      <w:r w:rsidR="00D82080">
        <w:rPr>
          <w:rStyle w:val="FootnoteReference"/>
          <w:sz w:val="22"/>
          <w:szCs w:val="22"/>
        </w:rPr>
        <w:footnoteReference w:id="75"/>
      </w:r>
      <w:r w:rsidR="00D82080" w:rsidRPr="00D82080">
        <w:rPr>
          <w:sz w:val="22"/>
          <w:szCs w:val="22"/>
        </w:rPr>
        <w:t>.</w:t>
      </w:r>
    </w:p>
    <w:p w14:paraId="6B51710C" w14:textId="6ECF15FE" w:rsidR="00190F2C" w:rsidRPr="007A5C5F" w:rsidRDefault="009349DB" w:rsidP="00AD0F94">
      <w:pPr>
        <w:pStyle w:val="ListParagraph"/>
        <w:numPr>
          <w:ilvl w:val="0"/>
          <w:numId w:val="49"/>
        </w:numPr>
        <w:adjustRightInd/>
        <w:snapToGrid/>
        <w:spacing w:after="0"/>
        <w:jc w:val="both"/>
        <w:rPr>
          <w:sz w:val="22"/>
          <w:szCs w:val="22"/>
          <w:lang w:val="en-GB"/>
        </w:rPr>
      </w:pPr>
      <w:r w:rsidRPr="007A5C5F">
        <w:rPr>
          <w:sz w:val="22"/>
          <w:szCs w:val="22"/>
          <w:lang w:val="en-GB"/>
        </w:rPr>
        <w:t xml:space="preserve">Additionally, </w:t>
      </w:r>
      <w:r w:rsidR="006C5CC9" w:rsidRPr="00C900FD">
        <w:rPr>
          <w:sz w:val="22"/>
          <w:szCs w:val="22"/>
          <w:lang w:val="en-GB"/>
        </w:rPr>
        <w:t>mediation and diversion-like measures</w:t>
      </w:r>
      <w:r w:rsidR="006C5CC9" w:rsidRPr="58C89815">
        <w:rPr>
          <w:rFonts w:ascii="Arial Narrow" w:eastAsia="Arial Narrow" w:hAnsi="Arial Narrow" w:cs="Arial Narrow"/>
          <w:sz w:val="22"/>
          <w:szCs w:val="22"/>
        </w:rPr>
        <w:t xml:space="preserve"> </w:t>
      </w:r>
      <w:r w:rsidRPr="007A5C5F">
        <w:rPr>
          <w:sz w:val="22"/>
          <w:szCs w:val="22"/>
          <w:lang w:val="en-GB"/>
        </w:rPr>
        <w:t xml:space="preserve">are being implemented to prevent criminalization and promote reintegration outside the formal justice system. This includes raising the monetary threshold for mediation of minor </w:t>
      </w:r>
      <w:r w:rsidR="00597CD7">
        <w:rPr>
          <w:sz w:val="22"/>
          <w:szCs w:val="22"/>
          <w:lang w:val="en-GB"/>
        </w:rPr>
        <w:t>offences</w:t>
      </w:r>
      <w:r w:rsidRPr="007A5C5F">
        <w:rPr>
          <w:sz w:val="22"/>
          <w:szCs w:val="22"/>
          <w:lang w:val="en-GB"/>
        </w:rPr>
        <w:t xml:space="preserve"> </w:t>
      </w:r>
      <w:r w:rsidRPr="007A5C5F">
        <w:rPr>
          <w:b/>
          <w:bCs/>
          <w:sz w:val="22"/>
          <w:szCs w:val="22"/>
          <w:lang w:val="en-GB"/>
        </w:rPr>
        <w:t>from 5,000 to 100,000 Sri Lankan Rupees (</w:t>
      </w:r>
      <w:r w:rsidR="00CC4596" w:rsidRPr="007A5C5F">
        <w:rPr>
          <w:b/>
          <w:bCs/>
          <w:sz w:val="22"/>
          <w:szCs w:val="22"/>
          <w:lang w:val="en-GB"/>
        </w:rPr>
        <w:t xml:space="preserve">equivalent to </w:t>
      </w:r>
      <w:r w:rsidRPr="007A5C5F">
        <w:rPr>
          <w:b/>
          <w:bCs/>
          <w:sz w:val="22"/>
          <w:szCs w:val="22"/>
          <w:lang w:val="en-GB"/>
        </w:rPr>
        <w:t>350 USD),</w:t>
      </w:r>
      <w:r w:rsidRPr="007A5C5F">
        <w:rPr>
          <w:sz w:val="22"/>
          <w:szCs w:val="22"/>
          <w:lang w:val="en-GB"/>
        </w:rPr>
        <w:t xml:space="preserve"> which has significantly reduced the number of children entering the court system for petty crimes.</w:t>
      </w:r>
    </w:p>
    <w:p w14:paraId="40F4F46A" w14:textId="77777777" w:rsidR="003724A8" w:rsidRPr="007A5C5F" w:rsidRDefault="003724A8" w:rsidP="00443215">
      <w:pPr>
        <w:pStyle w:val="Heading2"/>
        <w:rPr>
          <w:rFonts w:ascii="Times New Roman" w:hAnsi="Times New Roman" w:cs="Times New Roman"/>
          <w:lang w:val="en-GB"/>
        </w:rPr>
      </w:pPr>
      <w:bookmarkStart w:id="24" w:name="_Toc188348263"/>
      <w:r w:rsidRPr="007A5C5F">
        <w:rPr>
          <w:rFonts w:ascii="Times New Roman" w:hAnsi="Times New Roman" w:cs="Times New Roman"/>
          <w:lang w:val="en-GB"/>
        </w:rPr>
        <w:t>SUSTAINABILITY</w:t>
      </w:r>
      <w:bookmarkEnd w:id="24"/>
    </w:p>
    <w:p w14:paraId="10515DA7" w14:textId="77777777" w:rsidR="003724A8" w:rsidRPr="00ED60BB" w:rsidRDefault="003724A8" w:rsidP="004E5BAB">
      <w:pPr>
        <w:pStyle w:val="Heading4"/>
        <w:rPr>
          <w:rFonts w:ascii="Times New Roman" w:hAnsi="Times New Roman" w:cs="Times New Roman"/>
          <w:sz w:val="22"/>
          <w:szCs w:val="22"/>
          <w:lang w:val="en-GB"/>
        </w:rPr>
      </w:pPr>
      <w:r w:rsidRPr="00ED60BB">
        <w:rPr>
          <w:rFonts w:ascii="Times New Roman" w:hAnsi="Times New Roman" w:cs="Times New Roman"/>
          <w:sz w:val="22"/>
          <w:szCs w:val="22"/>
          <w:lang w:val="en-GB"/>
        </w:rPr>
        <w:t>EVALUATION QUESTIONS:</w:t>
      </w:r>
    </w:p>
    <w:p w14:paraId="2059D64F" w14:textId="77777777" w:rsidR="00A6714C" w:rsidRPr="00ED60BB" w:rsidRDefault="00A6714C" w:rsidP="009349DB">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To what extent have the capacities of individual and institutional stakeholders been strengthened to ensure that project outcomes are sustained?</w:t>
      </w:r>
    </w:p>
    <w:p w14:paraId="317F5178" w14:textId="77777777" w:rsidR="00A6714C" w:rsidRPr="00ED60BB" w:rsidRDefault="00A6714C" w:rsidP="009349DB">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What are the immediate and long-term risks that may undermine the sustainability of the project’s results?</w:t>
      </w:r>
    </w:p>
    <w:p w14:paraId="7C6527FB" w14:textId="77777777" w:rsidR="00A6714C" w:rsidRPr="00ED60BB" w:rsidRDefault="00A6714C" w:rsidP="009349DB">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ED60BB">
        <w:rPr>
          <w:b/>
          <w:bCs/>
          <w:i/>
          <w:iCs/>
          <w:color w:val="70AD47" w:themeColor="accent6"/>
          <w:sz w:val="22"/>
          <w:szCs w:val="22"/>
          <w:lang w:val="en-GB"/>
        </w:rPr>
        <w:t>What strategies or partnerships need to be developed to ensure the long-term sustainability of the reforms introduced by the project?</w:t>
      </w:r>
    </w:p>
    <w:p w14:paraId="7CB293FE" w14:textId="77777777" w:rsidR="00A6714C" w:rsidRPr="00ED60BB" w:rsidRDefault="00A6714C" w:rsidP="00A6714C">
      <w:pPr>
        <w:rPr>
          <w:sz w:val="22"/>
          <w:szCs w:val="22"/>
          <w:lang w:val="en-GB"/>
        </w:rPr>
      </w:pPr>
    </w:p>
    <w:tbl>
      <w:tblPr>
        <w:tblStyle w:val="IESTable"/>
        <w:tblW w:w="0" w:type="auto"/>
        <w:tblLook w:val="04A0" w:firstRow="1" w:lastRow="0" w:firstColumn="1" w:lastColumn="0" w:noHBand="0" w:noVBand="1"/>
      </w:tblPr>
      <w:tblGrid>
        <w:gridCol w:w="9580"/>
      </w:tblGrid>
      <w:tr w:rsidR="005961C3" w:rsidRPr="00ED60BB" w14:paraId="768DD7E9" w14:textId="77777777" w:rsidTr="005961C3">
        <w:trPr>
          <w:cnfStyle w:val="100000000000" w:firstRow="1" w:lastRow="0" w:firstColumn="0" w:lastColumn="0" w:oddVBand="0" w:evenVBand="0" w:oddHBand="0" w:evenHBand="0" w:firstRowFirstColumn="0" w:firstRowLastColumn="0" w:lastRowFirstColumn="0" w:lastRowLastColumn="0"/>
        </w:trPr>
        <w:tc>
          <w:tcPr>
            <w:tcW w:w="9580" w:type="dxa"/>
          </w:tcPr>
          <w:p w14:paraId="5A5E8129" w14:textId="3BA60C5A" w:rsidR="005961C3" w:rsidRPr="00ED60BB" w:rsidRDefault="005961C3" w:rsidP="005961C3">
            <w:pPr>
              <w:jc w:val="both"/>
              <w:rPr>
                <w:szCs w:val="22"/>
                <w:lang w:val="en-GB" w:eastAsia="zh-CN"/>
              </w:rPr>
            </w:pPr>
            <w:r w:rsidRPr="00ED60BB">
              <w:rPr>
                <w:b/>
                <w:szCs w:val="22"/>
                <w:lang w:val="en-GB"/>
              </w:rPr>
              <w:t>Rationale</w:t>
            </w:r>
            <w:r w:rsidRPr="00ED60BB">
              <w:rPr>
                <w:szCs w:val="22"/>
                <w:lang w:val="en-GB"/>
              </w:rPr>
              <w:t>: Sustainability examines the potential for the project’s results to be maintained over time, especially after its conclusion. It also assesses the level of national ownership and capacity building to ensure the justice system can sustain and build on the project's achievements.</w:t>
            </w:r>
          </w:p>
        </w:tc>
      </w:tr>
    </w:tbl>
    <w:p w14:paraId="524778BC" w14:textId="77777777" w:rsidR="005961C3" w:rsidRPr="00ED60BB" w:rsidRDefault="005961C3" w:rsidP="00A6714C">
      <w:pPr>
        <w:rPr>
          <w:sz w:val="22"/>
          <w:szCs w:val="22"/>
          <w:lang w:val="en-GB"/>
        </w:rPr>
      </w:pPr>
    </w:p>
    <w:p w14:paraId="50BD5E06" w14:textId="717B052C" w:rsidR="00257F0A" w:rsidRPr="007A5C5F" w:rsidRDefault="00257F0A" w:rsidP="00AD0F94">
      <w:pPr>
        <w:pStyle w:val="ListParagraph"/>
        <w:numPr>
          <w:ilvl w:val="0"/>
          <w:numId w:val="49"/>
        </w:numPr>
        <w:adjustRightInd/>
        <w:snapToGrid/>
        <w:spacing w:after="0"/>
        <w:jc w:val="both"/>
        <w:rPr>
          <w:lang w:val="en-GB"/>
        </w:rPr>
      </w:pPr>
      <w:r w:rsidRPr="007A5C5F">
        <w:rPr>
          <w:b/>
          <w:bCs/>
          <w:sz w:val="22"/>
          <w:szCs w:val="22"/>
          <w:lang w:val="en-GB"/>
        </w:rPr>
        <w:t xml:space="preserve">Finding </w:t>
      </w:r>
      <w:r w:rsidR="009E2B5C" w:rsidRPr="007A5C5F">
        <w:rPr>
          <w:b/>
          <w:bCs/>
          <w:sz w:val="22"/>
          <w:szCs w:val="22"/>
          <w:lang w:val="en-GB"/>
        </w:rPr>
        <w:t>1</w:t>
      </w:r>
      <w:r w:rsidR="00355BD2" w:rsidRPr="007A5C5F">
        <w:rPr>
          <w:b/>
          <w:bCs/>
          <w:sz w:val="22"/>
          <w:szCs w:val="22"/>
          <w:lang w:val="en-GB"/>
        </w:rPr>
        <w:t>1</w:t>
      </w:r>
      <w:r w:rsidR="009E2B5C" w:rsidRPr="007A5C5F">
        <w:rPr>
          <w:b/>
          <w:bCs/>
          <w:sz w:val="22"/>
          <w:szCs w:val="22"/>
          <w:lang w:val="en-GB"/>
        </w:rPr>
        <w:t>.</w:t>
      </w:r>
      <w:r w:rsidRPr="007A5C5F">
        <w:rPr>
          <w:b/>
          <w:bCs/>
          <w:sz w:val="22"/>
          <w:szCs w:val="22"/>
          <w:lang w:val="en-GB"/>
        </w:rPr>
        <w:t xml:space="preserve"> </w:t>
      </w:r>
      <w:r w:rsidR="00E41934" w:rsidRPr="007A5C5F">
        <w:rPr>
          <w:b/>
          <w:bCs/>
          <w:sz w:val="22"/>
          <w:szCs w:val="22"/>
          <w:lang w:val="en-GB"/>
        </w:rPr>
        <w:t xml:space="preserve">JURE’s progress from January to </w:t>
      </w:r>
      <w:r w:rsidR="00111021">
        <w:rPr>
          <w:b/>
          <w:bCs/>
          <w:sz w:val="22"/>
          <w:szCs w:val="22"/>
          <w:lang w:val="en-GB"/>
        </w:rPr>
        <w:t>May</w:t>
      </w:r>
      <w:r w:rsidR="00E41934" w:rsidRPr="007A5C5F">
        <w:rPr>
          <w:b/>
          <w:bCs/>
          <w:sz w:val="22"/>
          <w:szCs w:val="22"/>
          <w:lang w:val="en-GB"/>
        </w:rPr>
        <w:t xml:space="preserve"> 2024 demonstrates its impactful role in fostering systemic reforms, modernizing justice institutions, and enhancing their capacity to implement critical changes</w:t>
      </w:r>
      <w:r w:rsidR="00CC4596" w:rsidRPr="007A5C5F">
        <w:rPr>
          <w:b/>
          <w:bCs/>
          <w:sz w:val="22"/>
          <w:szCs w:val="22"/>
          <w:lang w:val="en-GB"/>
        </w:rPr>
        <w:t>.</w:t>
      </w:r>
      <w:r w:rsidR="00CC4596" w:rsidRPr="007A5C5F">
        <w:rPr>
          <w:lang w:val="en-GB"/>
        </w:rPr>
        <w:t xml:space="preserve"> </w:t>
      </w:r>
    </w:p>
    <w:p w14:paraId="2852C74F" w14:textId="62D29F83" w:rsidR="00492B9E" w:rsidRPr="007A5C5F" w:rsidRDefault="00CC4596" w:rsidP="00AD0F94">
      <w:pPr>
        <w:pStyle w:val="ListParagraph"/>
        <w:numPr>
          <w:ilvl w:val="0"/>
          <w:numId w:val="49"/>
        </w:numPr>
        <w:jc w:val="both"/>
        <w:rPr>
          <w:sz w:val="22"/>
          <w:szCs w:val="22"/>
          <w:lang w:val="en-GB"/>
        </w:rPr>
      </w:pPr>
      <w:r w:rsidRPr="007A5C5F">
        <w:rPr>
          <w:sz w:val="22"/>
          <w:szCs w:val="22"/>
          <w:lang w:val="en-GB"/>
        </w:rPr>
        <w:t xml:space="preserve">The JURE project has made progress in strengthening the capacities of both individual and institutional stakeholders, laying a foundation for the sustainability of its outcomes. Key achievements include the proposed expansion of Sri Lanka's legal aid system through a decentralized and community-driven model involving paralegal networks, legal aid desks, and law student-run clinics. </w:t>
      </w:r>
      <w:r w:rsidR="00FA0600" w:rsidRPr="007A5C5F">
        <w:rPr>
          <w:sz w:val="22"/>
          <w:szCs w:val="22"/>
          <w:lang w:val="en-GB"/>
        </w:rPr>
        <w:t xml:space="preserve">The proposed strategy is a cost-effective and innovative approach to addressing the growing demand for access to justice amid economic constraints. This initiative leverages existing resources and partnerships with the Ministry of Justice, BASL, and academic institutions to create a decentralized, community-driven model. It offers potential for sustainability through reduced reliance on fully trained lawyers, capacity building for future legal professionals, and fostering community ownership. However, </w:t>
      </w:r>
      <w:r w:rsidR="00FA0600" w:rsidRPr="007A5C5F">
        <w:rPr>
          <w:b/>
          <w:bCs/>
          <w:sz w:val="22"/>
          <w:szCs w:val="22"/>
          <w:lang w:val="en-GB"/>
        </w:rPr>
        <w:t>its long-term viability depends on securing consistent funding, maintaining service quality through proper training and supervision, and ensuring strong institutional support and leadership.</w:t>
      </w:r>
      <w:r w:rsidR="00FA0600" w:rsidRPr="007A5C5F">
        <w:rPr>
          <w:sz w:val="22"/>
          <w:szCs w:val="22"/>
          <w:lang w:val="en-GB"/>
        </w:rPr>
        <w:t xml:space="preserve"> While scalable, careful planning and robust </w:t>
      </w:r>
      <w:r w:rsidR="00FA0600" w:rsidRPr="007A5C5F">
        <w:rPr>
          <w:sz w:val="22"/>
          <w:szCs w:val="22"/>
          <w:lang w:val="en-GB"/>
        </w:rPr>
        <w:lastRenderedPageBreak/>
        <w:t xml:space="preserve">monitoring systems are required to ensure it </w:t>
      </w:r>
      <w:r w:rsidR="00597CD7">
        <w:rPr>
          <w:sz w:val="22"/>
          <w:szCs w:val="22"/>
          <w:lang w:val="en-GB"/>
        </w:rPr>
        <w:t>meet</w:t>
      </w:r>
      <w:r w:rsidR="00FA0600" w:rsidRPr="007A5C5F">
        <w:rPr>
          <w:sz w:val="22"/>
          <w:szCs w:val="22"/>
          <w:lang w:val="en-GB"/>
        </w:rPr>
        <w:t xml:space="preserve"> the growing and diverse needs of underserved populations.</w:t>
      </w:r>
    </w:p>
    <w:p w14:paraId="541B22E5" w14:textId="198BA172" w:rsidR="00492B9E" w:rsidRPr="007A5C5F" w:rsidRDefault="00492B9E" w:rsidP="00AD0F94">
      <w:pPr>
        <w:pStyle w:val="ListParagraph"/>
        <w:numPr>
          <w:ilvl w:val="0"/>
          <w:numId w:val="49"/>
        </w:numPr>
        <w:jc w:val="both"/>
        <w:rPr>
          <w:sz w:val="22"/>
          <w:szCs w:val="22"/>
          <w:lang w:val="en-GB"/>
        </w:rPr>
      </w:pPr>
      <w:r w:rsidRPr="007A5C5F">
        <w:rPr>
          <w:sz w:val="22"/>
          <w:szCs w:val="22"/>
          <w:lang w:val="en-GB"/>
        </w:rPr>
        <w:t xml:space="preserve">The joint efforts of UNDP and UNICEF under the EU-funded Justice Sector Reform Programme since 2022 provide a strong example of sustainability in action. By supporting amendments to the </w:t>
      </w:r>
      <w:r w:rsidRPr="007A5C5F">
        <w:rPr>
          <w:b/>
          <w:bCs/>
          <w:sz w:val="22"/>
          <w:szCs w:val="22"/>
          <w:lang w:val="en-GB"/>
        </w:rPr>
        <w:t>Assistance to and Protection of Victims of Crime and Witnesses Act, No. 10</w:t>
      </w:r>
      <w:r w:rsidRPr="007A5C5F">
        <w:rPr>
          <w:sz w:val="22"/>
          <w:szCs w:val="22"/>
          <w:lang w:val="en-GB"/>
        </w:rPr>
        <w:t xml:space="preserve">, and the </w:t>
      </w:r>
      <w:r w:rsidRPr="007A5C5F">
        <w:rPr>
          <w:b/>
          <w:bCs/>
          <w:sz w:val="22"/>
          <w:szCs w:val="22"/>
          <w:lang w:val="en-GB"/>
        </w:rPr>
        <w:t>Children and Young Persons Ordinance (CYPO) 1939</w:t>
      </w:r>
      <w:r w:rsidRPr="007A5C5F">
        <w:rPr>
          <w:sz w:val="22"/>
          <w:szCs w:val="22"/>
          <w:lang w:val="en-GB"/>
        </w:rPr>
        <w:t xml:space="preserve">, the program has laid a durable foundation for protecting vulnerable groups within the justice system. The introduction of a child-friendly hearing room </w:t>
      </w:r>
      <w:r w:rsidR="00D82080" w:rsidRPr="00C900FD">
        <w:rPr>
          <w:sz w:val="22"/>
          <w:szCs w:val="22"/>
          <w:lang w:val="en-GB"/>
        </w:rPr>
        <w:t>child friendly room in Kandy High Court</w:t>
      </w:r>
      <w:r w:rsidRPr="007A5C5F">
        <w:rPr>
          <w:sz w:val="22"/>
          <w:szCs w:val="22"/>
          <w:lang w:val="en-GB"/>
        </w:rPr>
        <w:t>, equipped with advanced audio-visual facilities, further ensures the long-term impact of these reforms. This facility not only minimizes trauma for victims and witnesses but also modernizes evidence-gathering processes, creating an enduring mechanism for safeguarding human rights and fostering a more accessible justice system. These interventions highlight how technical advisory support, coupled with infrastructure innovation, can achieve sustainable improvements in justice delivery</w:t>
      </w:r>
      <w:r w:rsidRPr="007A5C5F">
        <w:rPr>
          <w:rStyle w:val="FootnoteReference"/>
          <w:sz w:val="22"/>
          <w:szCs w:val="22"/>
          <w:lang w:val="en-GB"/>
        </w:rPr>
        <w:footnoteReference w:id="76"/>
      </w:r>
      <w:r w:rsidRPr="007A5C5F">
        <w:rPr>
          <w:sz w:val="22"/>
          <w:szCs w:val="22"/>
          <w:lang w:val="en-GB"/>
        </w:rPr>
        <w:t>.</w:t>
      </w:r>
    </w:p>
    <w:p w14:paraId="77FF8E80" w14:textId="17826B4A" w:rsidR="00275378" w:rsidRPr="007A5C5F" w:rsidRDefault="005016B9" w:rsidP="00AD0F94">
      <w:pPr>
        <w:pStyle w:val="ListParagraph"/>
        <w:numPr>
          <w:ilvl w:val="0"/>
          <w:numId w:val="49"/>
        </w:numPr>
        <w:jc w:val="both"/>
        <w:rPr>
          <w:sz w:val="22"/>
          <w:szCs w:val="22"/>
          <w:lang w:val="en-GB"/>
        </w:rPr>
      </w:pPr>
      <w:r w:rsidRPr="007A5C5F">
        <w:rPr>
          <w:sz w:val="22"/>
          <w:szCs w:val="22"/>
          <w:lang w:val="en-GB"/>
        </w:rPr>
        <w:t xml:space="preserve">Achieving complete digitalization of </w:t>
      </w:r>
      <w:r w:rsidR="00111021">
        <w:rPr>
          <w:sz w:val="22"/>
          <w:szCs w:val="22"/>
          <w:lang w:val="en-GB"/>
        </w:rPr>
        <w:t>justice</w:t>
      </w:r>
      <w:r w:rsidRPr="007A5C5F">
        <w:rPr>
          <w:sz w:val="22"/>
          <w:szCs w:val="22"/>
          <w:lang w:val="en-GB"/>
        </w:rPr>
        <w:t xml:space="preserve"> services necessitates a substantial financial investment. While recognizing the significant cost involved, it would be beneficial to explore cost-effective digital solutions or adopt phased digitalization approaches. Further, an equal emphasis on capacity development for national service providers to complement the services of sub-national institutions is required. This balanced focus would ensure a harmonized and integrated digitalization effort across all levels of government.  </w:t>
      </w:r>
    </w:p>
    <w:p w14:paraId="424377B4" w14:textId="1A413036" w:rsidR="00275378" w:rsidRPr="007A5C5F" w:rsidRDefault="00275378" w:rsidP="00AD0F94">
      <w:pPr>
        <w:pStyle w:val="ListParagraph"/>
        <w:numPr>
          <w:ilvl w:val="0"/>
          <w:numId w:val="49"/>
        </w:numPr>
        <w:jc w:val="both"/>
        <w:rPr>
          <w:sz w:val="22"/>
          <w:szCs w:val="22"/>
          <w:lang w:val="en-GB"/>
        </w:rPr>
      </w:pPr>
      <w:r w:rsidRPr="007A5C5F">
        <w:rPr>
          <w:b/>
          <w:bCs/>
          <w:sz w:val="22"/>
          <w:szCs w:val="22"/>
          <w:lang w:val="en-GB"/>
        </w:rPr>
        <w:t>Finding</w:t>
      </w:r>
      <w:r w:rsidR="009E2B5C" w:rsidRPr="007A5C5F">
        <w:rPr>
          <w:b/>
          <w:bCs/>
          <w:sz w:val="22"/>
          <w:szCs w:val="22"/>
          <w:lang w:val="en-GB"/>
        </w:rPr>
        <w:t xml:space="preserve"> 1</w:t>
      </w:r>
      <w:r w:rsidR="00355BD2" w:rsidRPr="007A5C5F">
        <w:rPr>
          <w:b/>
          <w:bCs/>
          <w:sz w:val="22"/>
          <w:szCs w:val="22"/>
          <w:lang w:val="en-GB"/>
        </w:rPr>
        <w:t>2</w:t>
      </w:r>
      <w:r w:rsidR="009E2B5C" w:rsidRPr="007A5C5F">
        <w:rPr>
          <w:b/>
          <w:bCs/>
          <w:sz w:val="22"/>
          <w:szCs w:val="22"/>
          <w:lang w:val="en-GB"/>
        </w:rPr>
        <w:t>.</w:t>
      </w:r>
      <w:r w:rsidRPr="007A5C5F">
        <w:rPr>
          <w:b/>
          <w:bCs/>
          <w:sz w:val="22"/>
          <w:szCs w:val="22"/>
          <w:lang w:val="en-GB"/>
        </w:rPr>
        <w:t xml:space="preserve"> The cancellation of several key activities under the JURE project </w:t>
      </w:r>
      <w:r w:rsidR="00355BD2" w:rsidRPr="007A5C5F">
        <w:rPr>
          <w:b/>
          <w:bCs/>
          <w:sz w:val="22"/>
          <w:szCs w:val="22"/>
          <w:lang w:val="en-GB"/>
        </w:rPr>
        <w:t xml:space="preserve">may </w:t>
      </w:r>
      <w:r w:rsidRPr="007A5C5F">
        <w:rPr>
          <w:b/>
          <w:bCs/>
          <w:sz w:val="22"/>
          <w:szCs w:val="22"/>
          <w:lang w:val="en-GB"/>
        </w:rPr>
        <w:t>pose risks to the sustainability of its outcomes.</w:t>
      </w:r>
      <w:r w:rsidRPr="007A5C5F">
        <w:rPr>
          <w:sz w:val="22"/>
          <w:szCs w:val="22"/>
          <w:lang w:val="en-GB"/>
        </w:rPr>
        <w:t xml:space="preserve"> </w:t>
      </w:r>
    </w:p>
    <w:p w14:paraId="239D8AF2" w14:textId="7F3805D8" w:rsidR="00DC6139" w:rsidRPr="00D24919" w:rsidRDefault="00275378" w:rsidP="00DC6139">
      <w:pPr>
        <w:pStyle w:val="ListParagraph"/>
        <w:numPr>
          <w:ilvl w:val="0"/>
          <w:numId w:val="49"/>
        </w:numPr>
        <w:jc w:val="both"/>
        <w:rPr>
          <w:sz w:val="22"/>
          <w:szCs w:val="22"/>
        </w:rPr>
      </w:pPr>
      <w:proofErr w:type="gramStart"/>
      <w:r w:rsidRPr="007A5C5F">
        <w:rPr>
          <w:sz w:val="22"/>
          <w:szCs w:val="22"/>
          <w:lang w:val="en-GB"/>
        </w:rPr>
        <w:t>A number of</w:t>
      </w:r>
      <w:proofErr w:type="gramEnd"/>
      <w:r w:rsidRPr="007A5C5F">
        <w:rPr>
          <w:sz w:val="22"/>
          <w:szCs w:val="22"/>
          <w:lang w:val="en-GB"/>
        </w:rPr>
        <w:t xml:space="preserve"> key activities planned under the JURE project were discontinued</w:t>
      </w:r>
      <w:r w:rsidR="00DB5929" w:rsidRPr="00DB5929">
        <w:rPr>
          <w:sz w:val="22"/>
          <w:szCs w:val="22"/>
        </w:rPr>
        <w:t xml:space="preserve"> </w:t>
      </w:r>
      <w:r w:rsidR="00DB5929">
        <w:rPr>
          <w:sz w:val="22"/>
          <w:szCs w:val="22"/>
        </w:rPr>
        <w:t>f</w:t>
      </w:r>
      <w:r w:rsidR="00DB5929" w:rsidRPr="00393438">
        <w:rPr>
          <w:sz w:val="22"/>
          <w:szCs w:val="22"/>
        </w:rPr>
        <w:t>ollowing the recommendations of the EU-commissioned Results-Oriented Monitoring in April 2024</w:t>
      </w:r>
      <w:r w:rsidR="00DB5929">
        <w:rPr>
          <w:sz w:val="22"/>
          <w:szCs w:val="22"/>
        </w:rPr>
        <w:t xml:space="preserve"> and i</w:t>
      </w:r>
      <w:r w:rsidR="00DB5929" w:rsidRPr="00DB5929">
        <w:rPr>
          <w:sz w:val="22"/>
          <w:szCs w:val="22"/>
        </w:rPr>
        <w:t xml:space="preserve">n line with </w:t>
      </w:r>
      <w:r w:rsidR="00DB5929" w:rsidRPr="00EE71C7">
        <w:rPr>
          <w:sz w:val="22"/>
          <w:szCs w:val="22"/>
        </w:rPr>
        <w:t>EU</w:t>
      </w:r>
      <w:r w:rsidR="00DB5929">
        <w:rPr>
          <w:sz w:val="22"/>
          <w:szCs w:val="22"/>
        </w:rPr>
        <w:t xml:space="preserve">, </w:t>
      </w:r>
      <w:r w:rsidR="00DB5929" w:rsidRPr="00EE71C7">
        <w:rPr>
          <w:sz w:val="22"/>
          <w:szCs w:val="22"/>
        </w:rPr>
        <w:t>MOJ directives</w:t>
      </w:r>
      <w:r w:rsidR="00DB5929" w:rsidRPr="00DB5929">
        <w:rPr>
          <w:sz w:val="22"/>
          <w:szCs w:val="22"/>
        </w:rPr>
        <w:t xml:space="preserve"> and </w:t>
      </w:r>
      <w:r w:rsidR="00DB5929" w:rsidRPr="00EE71C7">
        <w:rPr>
          <w:sz w:val="22"/>
          <w:szCs w:val="22"/>
        </w:rPr>
        <w:t>IMF recommendations</w:t>
      </w:r>
      <w:r w:rsidR="00DB5929">
        <w:rPr>
          <w:sz w:val="22"/>
          <w:szCs w:val="22"/>
        </w:rPr>
        <w:t>.</w:t>
      </w:r>
      <w:r w:rsidR="00DB5929" w:rsidRPr="00DB5929">
        <w:rPr>
          <w:sz w:val="22"/>
          <w:szCs w:val="22"/>
        </w:rPr>
        <w:t xml:space="preserve"> </w:t>
      </w:r>
      <w:r w:rsidR="00DB5929">
        <w:rPr>
          <w:sz w:val="22"/>
          <w:szCs w:val="22"/>
        </w:rPr>
        <w:t xml:space="preserve">To this end, some of the </w:t>
      </w:r>
      <w:r w:rsidR="00DB5929" w:rsidRPr="00393438">
        <w:rPr>
          <w:sz w:val="22"/>
          <w:szCs w:val="22"/>
        </w:rPr>
        <w:t>project funds were reallocated, leading to the cessation of financing for staff procurement in governmental institutions</w:t>
      </w:r>
      <w:r w:rsidR="00DB5929">
        <w:rPr>
          <w:sz w:val="22"/>
          <w:szCs w:val="22"/>
        </w:rPr>
        <w:t xml:space="preserve"> and internes/</w:t>
      </w:r>
      <w:r w:rsidR="00EC57B7">
        <w:rPr>
          <w:sz w:val="22"/>
          <w:szCs w:val="22"/>
        </w:rPr>
        <w:t>volunteers</w:t>
      </w:r>
      <w:r w:rsidR="00DB5929" w:rsidRPr="00393438">
        <w:rPr>
          <w:sz w:val="22"/>
          <w:szCs w:val="22"/>
        </w:rPr>
        <w:t>.</w:t>
      </w:r>
      <w:r w:rsidR="00DC6139">
        <w:rPr>
          <w:sz w:val="22"/>
          <w:szCs w:val="22"/>
        </w:rPr>
        <w:t xml:space="preserve"> There </w:t>
      </w:r>
      <w:proofErr w:type="gramStart"/>
      <w:r w:rsidR="00DC6139">
        <w:rPr>
          <w:sz w:val="22"/>
          <w:szCs w:val="22"/>
        </w:rPr>
        <w:t>are</w:t>
      </w:r>
      <w:proofErr w:type="gramEnd"/>
      <w:r w:rsidR="00DC6139">
        <w:rPr>
          <w:sz w:val="22"/>
          <w:szCs w:val="22"/>
        </w:rPr>
        <w:t xml:space="preserve"> stuff supported at the Human Rights Commission’s </w:t>
      </w:r>
      <w:r w:rsidR="00DC6139" w:rsidRPr="00DC6139">
        <w:rPr>
          <w:sz w:val="22"/>
          <w:szCs w:val="22"/>
        </w:rPr>
        <w:t>Program Officer Support for Sub-Offices (Hatton &amp; Ratnapura)</w:t>
      </w:r>
      <w:r w:rsidR="00DC6139">
        <w:rPr>
          <w:sz w:val="22"/>
          <w:szCs w:val="22"/>
        </w:rPr>
        <w:t xml:space="preserve"> </w:t>
      </w:r>
      <w:r w:rsidR="00DC6139" w:rsidRPr="00D24919">
        <w:rPr>
          <w:sz w:val="22"/>
          <w:szCs w:val="22"/>
        </w:rPr>
        <w:t xml:space="preserve">to support regional human rights </w:t>
      </w:r>
      <w:r w:rsidR="00DC6139" w:rsidRPr="00DC6139">
        <w:rPr>
          <w:sz w:val="22"/>
          <w:szCs w:val="22"/>
        </w:rPr>
        <w:t>efforts. The</w:t>
      </w:r>
      <w:r w:rsidR="00DC6139" w:rsidRPr="00D24919">
        <w:rPr>
          <w:sz w:val="22"/>
          <w:szCs w:val="22"/>
        </w:rPr>
        <w:t xml:space="preserve"> positions were operational for less than a year before they were discontinued.</w:t>
      </w:r>
      <w:r w:rsidR="00DC6139">
        <w:rPr>
          <w:sz w:val="22"/>
          <w:szCs w:val="22"/>
        </w:rPr>
        <w:t xml:space="preserve"> </w:t>
      </w:r>
      <w:r w:rsidR="00DC6139" w:rsidRPr="00D24919">
        <w:rPr>
          <w:b/>
          <w:bCs/>
          <w:sz w:val="22"/>
          <w:szCs w:val="22"/>
        </w:rPr>
        <w:t>Although resource utilization did not align with the implementation modalities outlined in the Action</w:t>
      </w:r>
      <w:r w:rsidR="00DC6139">
        <w:t>, the abrupt withdrawal of support resulted in significant operational challenges for the Human Rights Commission.</w:t>
      </w:r>
    </w:p>
    <w:p w14:paraId="35BBBE6D" w14:textId="6DE836C2" w:rsidR="00275378" w:rsidRPr="007A5C5F" w:rsidRDefault="00DB5929" w:rsidP="00AD0F94">
      <w:pPr>
        <w:pStyle w:val="ListParagraph"/>
        <w:numPr>
          <w:ilvl w:val="0"/>
          <w:numId w:val="49"/>
        </w:numPr>
        <w:jc w:val="both"/>
        <w:rPr>
          <w:sz w:val="22"/>
          <w:szCs w:val="22"/>
          <w:lang w:val="en-GB"/>
        </w:rPr>
      </w:pPr>
      <w:r w:rsidRPr="00393438">
        <w:t xml:space="preserve"> </w:t>
      </w:r>
      <w:r w:rsidRPr="00393438">
        <w:rPr>
          <w:sz w:val="22"/>
          <w:szCs w:val="22"/>
        </w:rPr>
        <w:t xml:space="preserve">This reallocation was necessary to redirect funds toward addressing the needs of </w:t>
      </w:r>
      <w:r w:rsidRPr="00EE71C7">
        <w:rPr>
          <w:sz w:val="22"/>
          <w:szCs w:val="22"/>
        </w:rPr>
        <w:t>rights holders</w:t>
      </w:r>
      <w:r w:rsidRPr="00393438">
        <w:rPr>
          <w:sz w:val="22"/>
          <w:szCs w:val="22"/>
        </w:rPr>
        <w:t xml:space="preserve"> and aligning with the project's goals.</w:t>
      </w:r>
      <w:r>
        <w:rPr>
          <w:sz w:val="22"/>
          <w:szCs w:val="22"/>
        </w:rPr>
        <w:t xml:space="preserve"> However, </w:t>
      </w:r>
      <w:r>
        <w:rPr>
          <w:sz w:val="22"/>
          <w:szCs w:val="22"/>
          <w:lang w:val="en-GB"/>
        </w:rPr>
        <w:t>t</w:t>
      </w:r>
      <w:r w:rsidRPr="001277A7">
        <w:rPr>
          <w:sz w:val="22"/>
          <w:szCs w:val="22"/>
          <w:lang w:val="en-GB"/>
        </w:rPr>
        <w:t>he sudden cancellation of critical activities such as policy research, training programs, and capacity-building initiatives has created sustainability risks.</w:t>
      </w:r>
      <w:r w:rsidR="00275378" w:rsidRPr="007A5C5F">
        <w:rPr>
          <w:rStyle w:val="FootnoteReference"/>
          <w:sz w:val="22"/>
          <w:szCs w:val="22"/>
          <w:lang w:val="en-GB"/>
        </w:rPr>
        <w:footnoteReference w:id="77"/>
      </w:r>
      <w:r w:rsidR="00275378" w:rsidRPr="007A5C5F">
        <w:rPr>
          <w:sz w:val="22"/>
          <w:szCs w:val="22"/>
          <w:lang w:val="en-GB"/>
        </w:rPr>
        <w:t>.</w:t>
      </w:r>
      <w:r>
        <w:rPr>
          <w:sz w:val="22"/>
          <w:szCs w:val="22"/>
          <w:lang w:val="en-GB"/>
        </w:rPr>
        <w:t>For example, a</w:t>
      </w:r>
      <w:r w:rsidR="00275378" w:rsidRPr="007A5C5F">
        <w:rPr>
          <w:sz w:val="22"/>
          <w:szCs w:val="22"/>
          <w:lang w:val="en-GB"/>
        </w:rPr>
        <w:t>ctivities such as the development of a higher diploma on human rights-based approaches to prison administration, the creation of a code of ethics for the Department of Prisons, and the establishment of a database of fundamental rights judgments were pivotal in building institutional capacities and embedding human rights practices within the justice sector.</w:t>
      </w:r>
      <w:r w:rsidR="00275378" w:rsidRPr="007A5C5F">
        <w:rPr>
          <w:rStyle w:val="FootnoteReference"/>
          <w:sz w:val="22"/>
          <w:szCs w:val="22"/>
          <w:lang w:val="en-GB"/>
        </w:rPr>
        <w:footnoteReference w:id="78"/>
      </w:r>
      <w:r w:rsidR="00275378" w:rsidRPr="007A5C5F">
        <w:rPr>
          <w:sz w:val="22"/>
          <w:szCs w:val="22"/>
          <w:lang w:val="en-GB"/>
        </w:rPr>
        <w:t xml:space="preserve"> Additionally, discontinuing research support for law and policy reforms, along with the cancellation of workshops targeting parliamentarians and media engagement on human rights issues, limits the program’s ability to drive systemic change and advocate for policy improvements. Without these critical components, the project risks losing momentum in advancing human rights, gender equality, and access to justice reforms, leaving the justice ecosystem vulnerable to stagnation or regression. Reinstating or finding alternative pathways to implement these activities is essential to sustaining the transformative potential of JURE.</w:t>
      </w:r>
    </w:p>
    <w:p w14:paraId="7D7E5E9C" w14:textId="509A4F57" w:rsidR="00275378" w:rsidRDefault="00275378" w:rsidP="00AD0F94">
      <w:pPr>
        <w:pStyle w:val="ListParagraph"/>
        <w:numPr>
          <w:ilvl w:val="0"/>
          <w:numId w:val="49"/>
        </w:numPr>
        <w:jc w:val="both"/>
        <w:rPr>
          <w:sz w:val="22"/>
          <w:szCs w:val="22"/>
          <w:lang w:val="en-GB"/>
        </w:rPr>
      </w:pPr>
      <w:r w:rsidRPr="007A5C5F">
        <w:rPr>
          <w:sz w:val="22"/>
          <w:szCs w:val="22"/>
          <w:lang w:val="en-GB"/>
        </w:rPr>
        <w:t xml:space="preserve">The discontinuation of these critical initiatives creates significant disruption for national partners unprepared for the abrupt phase-out. While some partners, such as the Human Rights Commission and the Government Analyst’s Department, have managed to mitigate the resource cutoff through alternative measures, others are now </w:t>
      </w:r>
      <w:r w:rsidR="009E2B5C" w:rsidRPr="007A5C5F">
        <w:rPr>
          <w:sz w:val="22"/>
          <w:szCs w:val="22"/>
          <w:lang w:val="en-GB"/>
        </w:rPr>
        <w:t>challenged</w:t>
      </w:r>
      <w:r w:rsidRPr="007A5C5F">
        <w:rPr>
          <w:sz w:val="22"/>
          <w:szCs w:val="22"/>
          <w:lang w:val="en-GB"/>
        </w:rPr>
        <w:t xml:space="preserve"> to secure the financial, human, and technical resources needed to finalise and sustain the work initiated under the JURE project.</w:t>
      </w:r>
      <w:r w:rsidR="0095181E">
        <w:rPr>
          <w:sz w:val="22"/>
          <w:szCs w:val="22"/>
          <w:lang w:val="en-GB"/>
        </w:rPr>
        <w:t xml:space="preserve"> The examples of </w:t>
      </w:r>
      <w:r w:rsidR="00C63A0D">
        <w:rPr>
          <w:sz w:val="22"/>
          <w:szCs w:val="22"/>
          <w:lang w:val="en-GB"/>
        </w:rPr>
        <w:t>discontinued</w:t>
      </w:r>
      <w:r w:rsidR="0095181E">
        <w:rPr>
          <w:sz w:val="22"/>
          <w:szCs w:val="22"/>
          <w:lang w:val="en-GB"/>
        </w:rPr>
        <w:t xml:space="preserve"> activities are included in the box hereunder:</w:t>
      </w:r>
    </w:p>
    <w:p w14:paraId="57C0943F" w14:textId="77777777" w:rsidR="0095181E" w:rsidRDefault="0095181E" w:rsidP="0095181E">
      <w:pPr>
        <w:jc w:val="both"/>
        <w:rPr>
          <w:sz w:val="22"/>
          <w:szCs w:val="22"/>
          <w:lang w:val="en-GB"/>
        </w:rPr>
      </w:pPr>
    </w:p>
    <w:p w14:paraId="08C0F1F7" w14:textId="5E56C351" w:rsidR="0095181E" w:rsidRDefault="0095181E" w:rsidP="00D24919">
      <w:pPr>
        <w:pStyle w:val="Caption"/>
        <w:rPr>
          <w:sz w:val="22"/>
          <w:szCs w:val="22"/>
          <w:lang w:val="en-GB"/>
        </w:rPr>
      </w:pPr>
      <w:r>
        <w:lastRenderedPageBreak/>
        <w:t xml:space="preserve">         Figure </w:t>
      </w:r>
      <w:r>
        <w:fldChar w:fldCharType="begin"/>
      </w:r>
      <w:r>
        <w:instrText xml:space="preserve"> SEQ Figure \* ARABIC </w:instrText>
      </w:r>
      <w:r>
        <w:fldChar w:fldCharType="separate"/>
      </w:r>
      <w:r>
        <w:rPr>
          <w:noProof/>
        </w:rPr>
        <w:t>10</w:t>
      </w:r>
      <w:r>
        <w:fldChar w:fldCharType="end"/>
      </w:r>
      <w:r>
        <w:t xml:space="preserve"> Sample of </w:t>
      </w:r>
      <w:r w:rsidR="00C63A0D">
        <w:t>initiated</w:t>
      </w:r>
      <w:r w:rsidR="006D3B28">
        <w:t xml:space="preserve"> and </w:t>
      </w:r>
      <w:r w:rsidR="00C63A0D">
        <w:t>discontinued</w:t>
      </w:r>
      <w:r>
        <w:t xml:space="preserve"> activities</w:t>
      </w:r>
    </w:p>
    <w:p w14:paraId="5E560AD0" w14:textId="77777777" w:rsidR="0095181E" w:rsidRDefault="0095181E" w:rsidP="0095181E">
      <w:pPr>
        <w:jc w:val="both"/>
        <w:rPr>
          <w:sz w:val="22"/>
          <w:szCs w:val="22"/>
          <w:lang w:val="en-GB"/>
        </w:rPr>
      </w:pPr>
    </w:p>
    <w:tbl>
      <w:tblPr>
        <w:tblStyle w:val="IESTable"/>
        <w:tblW w:w="0" w:type="auto"/>
        <w:tblInd w:w="279" w:type="dxa"/>
        <w:tblLook w:val="04A0" w:firstRow="1" w:lastRow="0" w:firstColumn="1" w:lastColumn="0" w:noHBand="0" w:noVBand="1"/>
      </w:tblPr>
      <w:tblGrid>
        <w:gridCol w:w="9301"/>
      </w:tblGrid>
      <w:tr w:rsidR="0095181E" w14:paraId="0C01C5DF" w14:textId="77777777" w:rsidTr="00ED60BB">
        <w:trPr>
          <w:cnfStyle w:val="100000000000" w:firstRow="1" w:lastRow="0" w:firstColumn="0" w:lastColumn="0" w:oddVBand="0" w:evenVBand="0" w:oddHBand="0" w:evenHBand="0" w:firstRowFirstColumn="0" w:firstRowLastColumn="0" w:lastRowFirstColumn="0" w:lastRowLastColumn="0"/>
        </w:trPr>
        <w:tc>
          <w:tcPr>
            <w:tcW w:w="9301" w:type="dxa"/>
            <w:shd w:val="clear" w:color="auto" w:fill="B4C6E7" w:themeFill="accent1" w:themeFillTint="66"/>
          </w:tcPr>
          <w:p w14:paraId="69735DD7" w14:textId="77777777" w:rsidR="00DC6139" w:rsidRPr="00ED60BB" w:rsidRDefault="00DC6139" w:rsidP="00ED60BB">
            <w:pPr>
              <w:pStyle w:val="NormalWeb"/>
              <w:spacing w:before="0" w:beforeAutospacing="0" w:after="0" w:afterAutospacing="0"/>
              <w:rPr>
                <w:rStyle w:val="Strong"/>
                <w:rFonts w:eastAsia="AppleGothic"/>
              </w:rPr>
            </w:pPr>
            <w:r w:rsidRPr="00ED60BB">
              <w:rPr>
                <w:rStyle w:val="Strong"/>
                <w:rFonts w:eastAsia="AppleGothic"/>
                <w:color w:val="000000" w:themeColor="text1"/>
                <w:sz w:val="20"/>
              </w:rPr>
              <w:t>Environmental Protection and Governance Initiatives</w:t>
            </w:r>
          </w:p>
          <w:p w14:paraId="09E3FF37" w14:textId="77777777" w:rsidR="00DC6139" w:rsidRPr="00ED60BB" w:rsidRDefault="00DC6139" w:rsidP="00ED60BB">
            <w:pPr>
              <w:pStyle w:val="NormalWeb"/>
              <w:numPr>
                <w:ilvl w:val="0"/>
                <w:numId w:val="301"/>
              </w:numPr>
              <w:spacing w:before="0" w:beforeAutospacing="0" w:after="0" w:afterAutospacing="0"/>
              <w:rPr>
                <w:color w:val="000000" w:themeColor="text1"/>
                <w:sz w:val="20"/>
              </w:rPr>
            </w:pPr>
            <w:r w:rsidRPr="00ED60BB">
              <w:rPr>
                <w:rStyle w:val="Strong"/>
                <w:rFonts w:eastAsia="AppleGothic"/>
                <w:color w:val="000000" w:themeColor="text1"/>
                <w:sz w:val="20"/>
              </w:rPr>
              <w:t>Workshops on Garbage Dumping and Pollution Control</w:t>
            </w:r>
          </w:p>
          <w:p w14:paraId="0AC29762" w14:textId="77777777" w:rsidR="00DC6139" w:rsidRPr="00ED60BB" w:rsidRDefault="00DC6139" w:rsidP="00ED60BB">
            <w:pPr>
              <w:numPr>
                <w:ilvl w:val="1"/>
                <w:numId w:val="307"/>
              </w:numPr>
              <w:rPr>
                <w:color w:val="000000" w:themeColor="text1"/>
                <w:sz w:val="20"/>
              </w:rPr>
            </w:pPr>
            <w:r w:rsidRPr="00ED60BB">
              <w:rPr>
                <w:color w:val="000000" w:themeColor="text1"/>
                <w:sz w:val="20"/>
              </w:rPr>
              <w:t>Aimed to educate officials on enforcement and train youth for leadership in environmental protection.</w:t>
            </w:r>
          </w:p>
          <w:p w14:paraId="66363921" w14:textId="77777777" w:rsidR="00DC6139" w:rsidRPr="00ED60BB" w:rsidRDefault="00DC6139" w:rsidP="00ED60BB">
            <w:pPr>
              <w:numPr>
                <w:ilvl w:val="1"/>
                <w:numId w:val="307"/>
              </w:numPr>
              <w:rPr>
                <w:color w:val="000000" w:themeColor="text1"/>
                <w:sz w:val="20"/>
              </w:rPr>
            </w:pPr>
            <w:r w:rsidRPr="00ED60BB">
              <w:rPr>
                <w:color w:val="000000" w:themeColor="text1"/>
                <w:sz w:val="20"/>
              </w:rPr>
              <w:t>Four workshops were completed, but the remaining five were not conducted.</w:t>
            </w:r>
          </w:p>
          <w:p w14:paraId="493A9F79" w14:textId="77777777" w:rsidR="00DC6139" w:rsidRPr="00ED60BB" w:rsidRDefault="00DC6139" w:rsidP="00ED60BB">
            <w:pPr>
              <w:numPr>
                <w:ilvl w:val="1"/>
                <w:numId w:val="307"/>
              </w:numPr>
              <w:rPr>
                <w:color w:val="000000" w:themeColor="text1"/>
                <w:sz w:val="20"/>
              </w:rPr>
            </w:pPr>
            <w:r w:rsidRPr="00ED60BB">
              <w:rPr>
                <w:color w:val="000000" w:themeColor="text1"/>
                <w:sz w:val="20"/>
              </w:rPr>
              <w:t>Despite the discontinuation, efforts continued through student-led initiatives to promote environmental awareness.</w:t>
            </w:r>
          </w:p>
          <w:p w14:paraId="6904C1CA" w14:textId="77777777" w:rsidR="00DC6139" w:rsidRPr="00ED60BB" w:rsidRDefault="00DC6139" w:rsidP="00ED60BB">
            <w:pPr>
              <w:pStyle w:val="NormalWeb"/>
              <w:numPr>
                <w:ilvl w:val="0"/>
                <w:numId w:val="301"/>
              </w:numPr>
              <w:spacing w:before="0" w:beforeAutospacing="0" w:after="0" w:afterAutospacing="0"/>
              <w:rPr>
                <w:color w:val="000000" w:themeColor="text1"/>
                <w:sz w:val="20"/>
              </w:rPr>
            </w:pPr>
            <w:r w:rsidRPr="00ED60BB">
              <w:rPr>
                <w:rStyle w:val="Strong"/>
                <w:rFonts w:eastAsia="AppleGothic"/>
                <w:color w:val="000000" w:themeColor="text1"/>
                <w:sz w:val="20"/>
              </w:rPr>
              <w:t xml:space="preserve">Publication of </w:t>
            </w:r>
            <w:r w:rsidRPr="00ED60BB">
              <w:rPr>
                <w:rStyle w:val="Emphasis"/>
                <w:rFonts w:ascii="Times New Roman" w:hAnsi="Times New Roman" w:cs="Times New Roman"/>
                <w:b w:val="0"/>
                <w:bCs w:val="0"/>
                <w:color w:val="000000" w:themeColor="text1"/>
                <w:sz w:val="20"/>
              </w:rPr>
              <w:t>Environmental Law and Governance: Multidisciplinary Perspectives</w:t>
            </w:r>
          </w:p>
          <w:p w14:paraId="768B649B" w14:textId="77777777" w:rsidR="00DC6139" w:rsidRPr="00ED60BB" w:rsidRDefault="00DC6139" w:rsidP="00ED60BB">
            <w:pPr>
              <w:numPr>
                <w:ilvl w:val="1"/>
                <w:numId w:val="307"/>
              </w:numPr>
              <w:rPr>
                <w:color w:val="000000" w:themeColor="text1"/>
                <w:sz w:val="20"/>
              </w:rPr>
            </w:pPr>
            <w:r w:rsidRPr="00ED60BB">
              <w:rPr>
                <w:color w:val="000000" w:themeColor="text1"/>
                <w:sz w:val="20"/>
              </w:rPr>
              <w:t>A two-part book project on environmental law and governance from a multidisciplinary perspective.</w:t>
            </w:r>
          </w:p>
          <w:p w14:paraId="5C9F82AC" w14:textId="77777777" w:rsidR="00DC6139" w:rsidRPr="00ED60BB" w:rsidRDefault="00DC6139" w:rsidP="00ED60BB">
            <w:pPr>
              <w:numPr>
                <w:ilvl w:val="1"/>
                <w:numId w:val="307"/>
              </w:numPr>
              <w:rPr>
                <w:color w:val="000000" w:themeColor="text1"/>
                <w:sz w:val="20"/>
              </w:rPr>
            </w:pPr>
            <w:r w:rsidRPr="00ED60BB">
              <w:rPr>
                <w:color w:val="000000" w:themeColor="text1"/>
                <w:sz w:val="20"/>
              </w:rPr>
              <w:t>Part One was completed but was not printed or launched.</w:t>
            </w:r>
          </w:p>
          <w:p w14:paraId="6E64DDC5" w14:textId="77777777" w:rsidR="00DC6139" w:rsidRPr="00ED60BB" w:rsidRDefault="00DC6139" w:rsidP="00ED60BB">
            <w:pPr>
              <w:numPr>
                <w:ilvl w:val="1"/>
                <w:numId w:val="307"/>
              </w:numPr>
              <w:rPr>
                <w:color w:val="000000" w:themeColor="text1"/>
                <w:sz w:val="20"/>
              </w:rPr>
            </w:pPr>
            <w:r w:rsidRPr="00ED60BB">
              <w:rPr>
                <w:color w:val="000000" w:themeColor="text1"/>
                <w:sz w:val="20"/>
              </w:rPr>
              <w:t>Part Two was in progress but was halted before completion.</w:t>
            </w:r>
          </w:p>
          <w:p w14:paraId="2E9CADE0" w14:textId="77777777" w:rsidR="00DC6139" w:rsidRPr="00ED60BB" w:rsidRDefault="00DC6139" w:rsidP="00ED60BB">
            <w:pPr>
              <w:numPr>
                <w:ilvl w:val="1"/>
                <w:numId w:val="307"/>
              </w:numPr>
              <w:rPr>
                <w:color w:val="000000" w:themeColor="text1"/>
                <w:sz w:val="20"/>
              </w:rPr>
            </w:pPr>
            <w:r w:rsidRPr="00ED60BB">
              <w:rPr>
                <w:color w:val="000000" w:themeColor="text1"/>
                <w:sz w:val="20"/>
              </w:rPr>
              <w:t>An abstract book related to the project was successfully launched in June.</w:t>
            </w:r>
          </w:p>
          <w:p w14:paraId="4BC74603" w14:textId="77777777" w:rsidR="00DC6139" w:rsidRPr="00ED60BB" w:rsidRDefault="00DC6139" w:rsidP="00ED60BB">
            <w:pPr>
              <w:pStyle w:val="NormalWeb"/>
              <w:numPr>
                <w:ilvl w:val="0"/>
                <w:numId w:val="301"/>
              </w:numPr>
              <w:spacing w:before="0" w:beforeAutospacing="0" w:after="0" w:afterAutospacing="0"/>
              <w:rPr>
                <w:color w:val="000000" w:themeColor="text1"/>
                <w:sz w:val="20"/>
              </w:rPr>
            </w:pPr>
            <w:r w:rsidRPr="00ED60BB">
              <w:rPr>
                <w:rStyle w:val="Strong"/>
                <w:rFonts w:eastAsia="AppleGothic"/>
                <w:color w:val="000000" w:themeColor="text1"/>
                <w:sz w:val="20"/>
              </w:rPr>
              <w:t>Judges’ Training Workshop</w:t>
            </w:r>
          </w:p>
          <w:p w14:paraId="36D5C08D" w14:textId="77777777" w:rsidR="00DC6139" w:rsidRPr="00ED60BB" w:rsidRDefault="00DC6139" w:rsidP="00ED60BB">
            <w:pPr>
              <w:numPr>
                <w:ilvl w:val="1"/>
                <w:numId w:val="307"/>
              </w:numPr>
              <w:rPr>
                <w:color w:val="000000" w:themeColor="text1"/>
                <w:sz w:val="20"/>
              </w:rPr>
            </w:pPr>
            <w:r w:rsidRPr="00ED60BB">
              <w:rPr>
                <w:color w:val="000000" w:themeColor="text1"/>
                <w:sz w:val="20"/>
              </w:rPr>
              <w:t>A two-day residential program designed to train High Court judges on environmental protection.</w:t>
            </w:r>
          </w:p>
          <w:p w14:paraId="4148A46F" w14:textId="77777777" w:rsidR="00DC6139" w:rsidRPr="00ED60BB" w:rsidRDefault="00DC6139" w:rsidP="00ED60BB">
            <w:pPr>
              <w:numPr>
                <w:ilvl w:val="1"/>
                <w:numId w:val="307"/>
              </w:numPr>
              <w:rPr>
                <w:color w:val="000000" w:themeColor="text1"/>
                <w:sz w:val="20"/>
              </w:rPr>
            </w:pPr>
            <w:r w:rsidRPr="00ED60BB">
              <w:rPr>
                <w:color w:val="000000" w:themeColor="text1"/>
                <w:sz w:val="20"/>
              </w:rPr>
              <w:t>The first-year workshop successfully trained 61 High Court judges.</w:t>
            </w:r>
          </w:p>
          <w:p w14:paraId="1AD90D8B" w14:textId="77777777" w:rsidR="00DC6139" w:rsidRPr="00ED60BB" w:rsidRDefault="00DC6139" w:rsidP="00ED60BB">
            <w:pPr>
              <w:numPr>
                <w:ilvl w:val="1"/>
                <w:numId w:val="307"/>
              </w:numPr>
              <w:rPr>
                <w:color w:val="000000" w:themeColor="text1"/>
                <w:sz w:val="20"/>
              </w:rPr>
            </w:pPr>
            <w:r w:rsidRPr="00ED60BB">
              <w:rPr>
                <w:color w:val="000000" w:themeColor="text1"/>
                <w:sz w:val="20"/>
              </w:rPr>
              <w:t>The second-year training was planned but was canceled two months before implementation.</w:t>
            </w:r>
          </w:p>
          <w:p w14:paraId="13E95176" w14:textId="77777777" w:rsidR="00DC6139" w:rsidRPr="00ED60BB" w:rsidRDefault="00DC6139" w:rsidP="00ED60BB">
            <w:pPr>
              <w:pStyle w:val="NormalWeb"/>
              <w:numPr>
                <w:ilvl w:val="0"/>
                <w:numId w:val="301"/>
              </w:numPr>
              <w:spacing w:before="0" w:beforeAutospacing="0" w:after="0" w:afterAutospacing="0"/>
              <w:rPr>
                <w:color w:val="000000" w:themeColor="text1"/>
                <w:sz w:val="20"/>
              </w:rPr>
            </w:pPr>
            <w:r w:rsidRPr="00ED60BB">
              <w:rPr>
                <w:rStyle w:val="Strong"/>
                <w:rFonts w:eastAsia="AppleGothic"/>
                <w:color w:val="000000" w:themeColor="text1"/>
                <w:sz w:val="20"/>
              </w:rPr>
              <w:t>Provincial Training for Public Officers and Youth</w:t>
            </w:r>
          </w:p>
          <w:p w14:paraId="78E6C5AD" w14:textId="77777777" w:rsidR="00DC6139" w:rsidRPr="00ED60BB" w:rsidRDefault="00DC6139" w:rsidP="00ED60BB">
            <w:pPr>
              <w:numPr>
                <w:ilvl w:val="1"/>
                <w:numId w:val="307"/>
              </w:numPr>
              <w:rPr>
                <w:color w:val="000000" w:themeColor="text1"/>
                <w:sz w:val="20"/>
              </w:rPr>
            </w:pPr>
            <w:r w:rsidRPr="00ED60BB">
              <w:rPr>
                <w:color w:val="000000" w:themeColor="text1"/>
                <w:sz w:val="20"/>
              </w:rPr>
              <w:t>Five of the nine planned provincial training sessions for public officers and youth were completed.</w:t>
            </w:r>
          </w:p>
          <w:p w14:paraId="483A6553" w14:textId="77777777" w:rsidR="00DC6139" w:rsidRPr="00ED60BB" w:rsidRDefault="00DC6139" w:rsidP="00ED60BB">
            <w:pPr>
              <w:numPr>
                <w:ilvl w:val="1"/>
                <w:numId w:val="307"/>
              </w:numPr>
              <w:rPr>
                <w:color w:val="000000" w:themeColor="text1"/>
                <w:sz w:val="20"/>
              </w:rPr>
            </w:pPr>
            <w:r w:rsidRPr="00ED60BB">
              <w:rPr>
                <w:color w:val="000000" w:themeColor="text1"/>
                <w:sz w:val="20"/>
              </w:rPr>
              <w:t>Legal clinics were held alongside the training, providing free legal services on environmental issues to underserved communities in four provinces.</w:t>
            </w:r>
          </w:p>
          <w:p w14:paraId="034DF527" w14:textId="77777777" w:rsidR="00DC6139" w:rsidRPr="00ED60BB" w:rsidRDefault="00DC6139" w:rsidP="00ED60BB">
            <w:pPr>
              <w:numPr>
                <w:ilvl w:val="1"/>
                <w:numId w:val="307"/>
              </w:numPr>
              <w:rPr>
                <w:color w:val="000000" w:themeColor="text1"/>
                <w:sz w:val="20"/>
              </w:rPr>
            </w:pPr>
            <w:r w:rsidRPr="00ED60BB">
              <w:rPr>
                <w:color w:val="000000" w:themeColor="text1"/>
                <w:sz w:val="20"/>
              </w:rPr>
              <w:t>The remaining four training sessions were not conducted.</w:t>
            </w:r>
          </w:p>
          <w:p w14:paraId="60C27E08" w14:textId="77777777" w:rsidR="00DC6139" w:rsidRPr="00ED60BB" w:rsidRDefault="00DC6139" w:rsidP="00ED60BB">
            <w:pPr>
              <w:pStyle w:val="NormalWeb"/>
              <w:numPr>
                <w:ilvl w:val="0"/>
                <w:numId w:val="301"/>
              </w:numPr>
              <w:spacing w:before="0" w:beforeAutospacing="0" w:after="0" w:afterAutospacing="0"/>
              <w:rPr>
                <w:color w:val="000000" w:themeColor="text1"/>
                <w:sz w:val="20"/>
              </w:rPr>
            </w:pPr>
            <w:r w:rsidRPr="00ED60BB">
              <w:rPr>
                <w:rStyle w:val="Strong"/>
                <w:rFonts w:eastAsia="AppleGothic"/>
                <w:color w:val="000000" w:themeColor="text1"/>
                <w:sz w:val="20"/>
              </w:rPr>
              <w:t>Regional Research Projects on Climate Change and Crimes Against Future Generations</w:t>
            </w:r>
          </w:p>
          <w:p w14:paraId="2069E0D6" w14:textId="77777777" w:rsidR="00DC6139" w:rsidRPr="00ED60BB" w:rsidRDefault="00DC6139" w:rsidP="006D3B28">
            <w:pPr>
              <w:numPr>
                <w:ilvl w:val="1"/>
                <w:numId w:val="307"/>
              </w:numPr>
              <w:rPr>
                <w:color w:val="000000" w:themeColor="text1"/>
                <w:sz w:val="20"/>
              </w:rPr>
            </w:pPr>
            <w:r w:rsidRPr="00ED60BB">
              <w:rPr>
                <w:color w:val="000000" w:themeColor="text1"/>
                <w:sz w:val="20"/>
              </w:rPr>
              <w:t>Conducted in collaboration with Nepal, India, and Bangladesh (climate change) and Pakistan, Maldives, Bhutan, and Sri Lanka (crimes against future generations).</w:t>
            </w:r>
          </w:p>
          <w:p w14:paraId="18E339C0" w14:textId="77777777" w:rsidR="00DC6139" w:rsidRPr="00ED60BB" w:rsidRDefault="00DC6139" w:rsidP="006D3B28">
            <w:pPr>
              <w:numPr>
                <w:ilvl w:val="1"/>
                <w:numId w:val="307"/>
              </w:numPr>
              <w:rPr>
                <w:color w:val="000000" w:themeColor="text1"/>
                <w:sz w:val="20"/>
              </w:rPr>
            </w:pPr>
            <w:r w:rsidRPr="00ED60BB">
              <w:rPr>
                <w:color w:val="000000" w:themeColor="text1"/>
                <w:sz w:val="20"/>
              </w:rPr>
              <w:t>Research was fully completed.</w:t>
            </w:r>
          </w:p>
          <w:p w14:paraId="602B4394" w14:textId="77777777" w:rsidR="00DC6139" w:rsidRPr="00ED60BB" w:rsidRDefault="00DC6139" w:rsidP="006D3B28">
            <w:pPr>
              <w:numPr>
                <w:ilvl w:val="1"/>
                <w:numId w:val="307"/>
              </w:numPr>
              <w:rPr>
                <w:color w:val="000000" w:themeColor="text1"/>
                <w:sz w:val="20"/>
              </w:rPr>
            </w:pPr>
            <w:r w:rsidRPr="00ED60BB">
              <w:rPr>
                <w:color w:val="000000" w:themeColor="text1"/>
                <w:sz w:val="20"/>
              </w:rPr>
              <w:t>Planned publications remained uncertain, and further production, including two completed documentaries, did not progress.</w:t>
            </w:r>
          </w:p>
          <w:p w14:paraId="76CC73E2" w14:textId="77777777" w:rsidR="00DC6139" w:rsidRPr="00ED60BB" w:rsidRDefault="00DC6139" w:rsidP="00ED60BB">
            <w:pPr>
              <w:pStyle w:val="NormalWeb"/>
              <w:spacing w:before="0" w:beforeAutospacing="0" w:after="0" w:afterAutospacing="0"/>
              <w:ind w:left="720"/>
              <w:rPr>
                <w:rStyle w:val="Strong"/>
                <w:rFonts w:eastAsia="AppleGothic"/>
                <w:color w:val="000000" w:themeColor="text1"/>
                <w:sz w:val="20"/>
              </w:rPr>
            </w:pPr>
            <w:r w:rsidRPr="00ED60BB">
              <w:rPr>
                <w:rStyle w:val="Strong"/>
                <w:rFonts w:eastAsia="AppleGothic"/>
                <w:color w:val="000000" w:themeColor="text1"/>
                <w:sz w:val="20"/>
              </w:rPr>
              <w:t>Human Rights Commission Initiatives</w:t>
            </w:r>
          </w:p>
          <w:p w14:paraId="67D597EE" w14:textId="77777777" w:rsidR="00DC6139" w:rsidRPr="00ED60BB" w:rsidRDefault="00DC6139" w:rsidP="00ED60BB">
            <w:pPr>
              <w:pStyle w:val="NormalWeb"/>
              <w:numPr>
                <w:ilvl w:val="0"/>
                <w:numId w:val="302"/>
              </w:numPr>
              <w:spacing w:before="0" w:beforeAutospacing="0" w:after="0" w:afterAutospacing="0"/>
              <w:rPr>
                <w:color w:val="000000" w:themeColor="text1"/>
                <w:sz w:val="20"/>
              </w:rPr>
            </w:pPr>
            <w:r w:rsidRPr="00ED60BB">
              <w:rPr>
                <w:rStyle w:val="Strong"/>
                <w:rFonts w:eastAsia="AppleGothic"/>
                <w:color w:val="000000" w:themeColor="text1"/>
                <w:sz w:val="20"/>
              </w:rPr>
              <w:t>Funding for the National Preventive Mechanism (NPM)</w:t>
            </w:r>
          </w:p>
          <w:p w14:paraId="08326140" w14:textId="7D3E375C" w:rsidR="00DC6139" w:rsidRPr="00ED60BB" w:rsidRDefault="006D3B28" w:rsidP="006D3B28">
            <w:pPr>
              <w:numPr>
                <w:ilvl w:val="1"/>
                <w:numId w:val="307"/>
              </w:numPr>
              <w:rPr>
                <w:color w:val="000000" w:themeColor="text1"/>
                <w:sz w:val="20"/>
              </w:rPr>
            </w:pPr>
            <w:r>
              <w:rPr>
                <w:color w:val="000000" w:themeColor="text1"/>
                <w:sz w:val="20"/>
              </w:rPr>
              <w:t>JURE s</w:t>
            </w:r>
            <w:r w:rsidR="00DC6139" w:rsidRPr="00ED60BB">
              <w:rPr>
                <w:color w:val="000000" w:themeColor="text1"/>
                <w:sz w:val="20"/>
              </w:rPr>
              <w:t>upported national efforts to prevent human rights violations.</w:t>
            </w:r>
          </w:p>
          <w:p w14:paraId="0FC99B49" w14:textId="77777777" w:rsidR="00DC6139" w:rsidRPr="00ED60BB" w:rsidRDefault="00DC6139" w:rsidP="006D3B28">
            <w:pPr>
              <w:numPr>
                <w:ilvl w:val="1"/>
                <w:numId w:val="307"/>
              </w:numPr>
              <w:rPr>
                <w:color w:val="000000" w:themeColor="text1"/>
                <w:sz w:val="20"/>
              </w:rPr>
            </w:pPr>
            <w:r w:rsidRPr="00ED60BB">
              <w:rPr>
                <w:color w:val="000000" w:themeColor="text1"/>
                <w:sz w:val="20"/>
              </w:rPr>
              <w:t>The mechanism continued to operate with national resources.</w:t>
            </w:r>
          </w:p>
          <w:p w14:paraId="224D56A5" w14:textId="1B140AB7" w:rsidR="0095181E" w:rsidRPr="00ED60BB" w:rsidRDefault="00DC6139" w:rsidP="006D3B28">
            <w:pPr>
              <w:numPr>
                <w:ilvl w:val="1"/>
                <w:numId w:val="307"/>
              </w:numPr>
              <w:rPr>
                <w:color w:val="000000" w:themeColor="text1"/>
                <w:sz w:val="20"/>
              </w:rPr>
            </w:pPr>
            <w:r w:rsidRPr="00ED60BB">
              <w:rPr>
                <w:color w:val="000000" w:themeColor="text1"/>
                <w:sz w:val="20"/>
              </w:rPr>
              <w:t>Adjustments were made to compensate for the lack of external support.</w:t>
            </w:r>
          </w:p>
        </w:tc>
      </w:tr>
    </w:tbl>
    <w:p w14:paraId="687E7080" w14:textId="77777777" w:rsidR="0095181E" w:rsidRPr="00D24919" w:rsidRDefault="0095181E" w:rsidP="00D24919">
      <w:pPr>
        <w:jc w:val="both"/>
        <w:rPr>
          <w:sz w:val="22"/>
          <w:szCs w:val="22"/>
          <w:lang w:val="en-GB"/>
        </w:rPr>
      </w:pPr>
    </w:p>
    <w:p w14:paraId="2459B42E" w14:textId="6948BAC5" w:rsidR="00275378" w:rsidRPr="007A5C5F" w:rsidRDefault="00275378" w:rsidP="00AD0F94">
      <w:pPr>
        <w:pStyle w:val="ListParagraph"/>
        <w:numPr>
          <w:ilvl w:val="0"/>
          <w:numId w:val="49"/>
        </w:numPr>
        <w:jc w:val="both"/>
        <w:rPr>
          <w:sz w:val="22"/>
          <w:szCs w:val="22"/>
          <w:lang w:val="en-GB"/>
        </w:rPr>
      </w:pPr>
      <w:r w:rsidRPr="007A5C5F">
        <w:rPr>
          <w:sz w:val="22"/>
          <w:szCs w:val="22"/>
          <w:lang w:val="en-GB"/>
        </w:rPr>
        <w:t>This abrupt withdrawal has also impacted the professional atmosphere between the JURE team and national partners. The sudden discontinuation of activities without a structured exit strategy or sufficient communication has led to frustration, potentially undermining the trust and collaboration built throughout the project. Such situations highlight the importance of transparent planning, phased transitions, and capacity-building measures to ensure that national partners are adequately equipped to carry forward project outcomes sustainably and without disruptions.</w:t>
      </w:r>
    </w:p>
    <w:p w14:paraId="005C435A" w14:textId="3E808C78" w:rsidR="00275378" w:rsidRPr="007A5C5F" w:rsidRDefault="009E2B5C" w:rsidP="00AD0F94">
      <w:pPr>
        <w:pStyle w:val="ListParagraph"/>
        <w:numPr>
          <w:ilvl w:val="0"/>
          <w:numId w:val="49"/>
        </w:numPr>
        <w:jc w:val="both"/>
        <w:rPr>
          <w:lang w:val="en-GB"/>
        </w:rPr>
      </w:pPr>
      <w:r w:rsidRPr="007A5C5F">
        <w:rPr>
          <w:b/>
          <w:bCs/>
          <w:sz w:val="22"/>
          <w:szCs w:val="22"/>
          <w:lang w:val="en-GB"/>
        </w:rPr>
        <w:t>Finding 1</w:t>
      </w:r>
      <w:r w:rsidR="00355BD2" w:rsidRPr="007A5C5F">
        <w:rPr>
          <w:b/>
          <w:bCs/>
          <w:sz w:val="22"/>
          <w:szCs w:val="22"/>
          <w:lang w:val="en-GB"/>
        </w:rPr>
        <w:t>3</w:t>
      </w:r>
      <w:r w:rsidR="00275378" w:rsidRPr="007A5C5F">
        <w:rPr>
          <w:b/>
          <w:bCs/>
          <w:sz w:val="22"/>
          <w:szCs w:val="22"/>
          <w:lang w:val="en-GB"/>
        </w:rPr>
        <w:t xml:space="preserve">. The LLM program in Environmental Law ensures JURE's sustainability by building long-term legal expertise and strengthening institutional capacity. However, reconnecting with </w:t>
      </w:r>
      <w:r w:rsidR="007A5C5F" w:rsidRPr="007A5C5F">
        <w:rPr>
          <w:b/>
          <w:bCs/>
          <w:sz w:val="22"/>
          <w:szCs w:val="22"/>
          <w:lang w:val="en-GB"/>
        </w:rPr>
        <w:t>cancelled</w:t>
      </w:r>
      <w:r w:rsidR="00275378" w:rsidRPr="007A5C5F">
        <w:rPr>
          <w:b/>
          <w:bCs/>
          <w:sz w:val="22"/>
          <w:szCs w:val="22"/>
          <w:lang w:val="en-GB"/>
        </w:rPr>
        <w:t xml:space="preserve"> activities would further reinforce the ecosystem of Access to Justice in this field, ensuring more robust and sustainable results.</w:t>
      </w:r>
    </w:p>
    <w:p w14:paraId="3AB2683E" w14:textId="37936C1B" w:rsidR="00275378" w:rsidRPr="007A5C5F" w:rsidRDefault="00275378" w:rsidP="00AD0F94">
      <w:pPr>
        <w:pStyle w:val="ListParagraph"/>
        <w:numPr>
          <w:ilvl w:val="0"/>
          <w:numId w:val="49"/>
        </w:numPr>
        <w:jc w:val="both"/>
        <w:rPr>
          <w:sz w:val="22"/>
          <w:szCs w:val="22"/>
          <w:lang w:val="en-GB"/>
        </w:rPr>
      </w:pPr>
      <w:r w:rsidRPr="007A5C5F">
        <w:rPr>
          <w:sz w:val="22"/>
          <w:szCs w:val="22"/>
          <w:lang w:val="en-GB"/>
        </w:rPr>
        <w:t xml:space="preserve">The establishment of the </w:t>
      </w:r>
      <w:r w:rsidRPr="007A5C5F">
        <w:rPr>
          <w:b/>
          <w:bCs/>
          <w:sz w:val="22"/>
          <w:szCs w:val="22"/>
          <w:lang w:val="en-GB"/>
        </w:rPr>
        <w:t>LLM in International Environment and Climate Change Law</w:t>
      </w:r>
      <w:r w:rsidRPr="007A5C5F">
        <w:rPr>
          <w:sz w:val="22"/>
          <w:szCs w:val="22"/>
          <w:lang w:val="en-GB"/>
        </w:rPr>
        <w:t>, with 24 students currently enrolled, is a pivotal achievement that ensures the sustainability of JURE’s outcomes. This program addresses a critical gap in Sri Lanka, where only one qualified lawyer currently specializes in environmental law and practice. By training a new generation of legal professionals with expertise in this field, the initiative lays a strong foundation for advancing environmental justice and governance in the long term.</w:t>
      </w:r>
      <w:r w:rsidR="00CC4596" w:rsidRPr="007A5C5F">
        <w:rPr>
          <w:sz w:val="22"/>
          <w:szCs w:val="22"/>
          <w:lang w:val="en-GB"/>
        </w:rPr>
        <w:t xml:space="preserve"> </w:t>
      </w:r>
      <w:r w:rsidRPr="007A5C5F">
        <w:rPr>
          <w:sz w:val="22"/>
          <w:szCs w:val="22"/>
          <w:lang w:val="en-GB"/>
        </w:rPr>
        <w:t>Investing in younger generations of lawyers is a particularly sustainable approach. It creates a steady pipeline of expertise, ensuring that legal professionals equipped to handle complex environmental challenges are available well into the future. This expanded capacity not only strengthens institutions by enabling them to address environmental cases and draft policies effectively but also ensures that efforts to protect natural resources and combat climate change are resilient and enduring.</w:t>
      </w:r>
    </w:p>
    <w:p w14:paraId="6955EE4F" w14:textId="77777777" w:rsidR="00275378" w:rsidRPr="007A5C5F" w:rsidRDefault="00275378" w:rsidP="00AD0F94">
      <w:pPr>
        <w:pStyle w:val="ListParagraph"/>
        <w:numPr>
          <w:ilvl w:val="0"/>
          <w:numId w:val="49"/>
        </w:numPr>
        <w:jc w:val="both"/>
        <w:rPr>
          <w:sz w:val="22"/>
          <w:szCs w:val="22"/>
          <w:lang w:val="en-GB"/>
        </w:rPr>
      </w:pPr>
      <w:r w:rsidRPr="007A5C5F">
        <w:rPr>
          <w:sz w:val="22"/>
          <w:szCs w:val="22"/>
          <w:lang w:val="en-GB"/>
        </w:rPr>
        <w:lastRenderedPageBreak/>
        <w:t>Moreover, younger lawyers bring fresh perspectives and are more likely to adopt innovative approaches, such as leveraging technology and engaging with communities to promote advocacy. This adaptability is essential for addressing emerging and evolving environmental issues. Importantly, this investment ensures continuity, reducing the risks of over-reliance on a limited pool of specialists and embedding environmental expertise more broadly across the legal system.</w:t>
      </w:r>
    </w:p>
    <w:p w14:paraId="20A43A19" w14:textId="506B8B50" w:rsidR="00275378" w:rsidRPr="00D24919" w:rsidRDefault="00275378" w:rsidP="00A213D5">
      <w:pPr>
        <w:pStyle w:val="ListParagraph"/>
        <w:numPr>
          <w:ilvl w:val="0"/>
          <w:numId w:val="49"/>
        </w:numPr>
        <w:jc w:val="both"/>
        <w:rPr>
          <w:sz w:val="22"/>
          <w:szCs w:val="22"/>
        </w:rPr>
      </w:pPr>
      <w:r w:rsidRPr="007A5C5F">
        <w:rPr>
          <w:sz w:val="22"/>
          <w:szCs w:val="22"/>
          <w:lang w:val="en-GB"/>
        </w:rPr>
        <w:t>As Sri Lanka faces growing environmental challenges, having a cadre of trained lawyers directly supports national priorities while aligning with international commitments, such as the Sustainable Development Goals. The LLM program not only amplifies JURE’s immediate impact but also ensures that its legacy is sustained through the long-term development of environmental law expertise in the country.</w:t>
      </w:r>
      <w:r w:rsidR="00A213D5" w:rsidRPr="00A213D5">
        <w:t xml:space="preserve"> </w:t>
      </w:r>
      <w:r w:rsidR="00A213D5" w:rsidRPr="00D24919">
        <w:rPr>
          <w:sz w:val="22"/>
          <w:szCs w:val="22"/>
        </w:rPr>
        <w:t xml:space="preserve">The course’s success is already evident, with the </w:t>
      </w:r>
      <w:r w:rsidR="00A213D5" w:rsidRPr="00D24919">
        <w:rPr>
          <w:rStyle w:val="Strong"/>
          <w:rFonts w:eastAsia="AppleGothic"/>
          <w:sz w:val="22"/>
          <w:szCs w:val="22"/>
        </w:rPr>
        <w:t xml:space="preserve">first batch of students completing their studies in </w:t>
      </w:r>
      <w:r w:rsidR="00A213D5" w:rsidRPr="00A213D5">
        <w:rPr>
          <w:rStyle w:val="Strong"/>
          <w:rFonts w:eastAsia="AppleGothic"/>
          <w:sz w:val="22"/>
          <w:szCs w:val="22"/>
        </w:rPr>
        <w:t>November</w:t>
      </w:r>
      <w:r w:rsidR="00A213D5" w:rsidRPr="00A213D5">
        <w:rPr>
          <w:sz w:val="22"/>
          <w:szCs w:val="22"/>
        </w:rPr>
        <w:t xml:space="preserve"> </w:t>
      </w:r>
      <w:r w:rsidR="00A213D5">
        <w:rPr>
          <w:sz w:val="22"/>
          <w:szCs w:val="22"/>
        </w:rPr>
        <w:t xml:space="preserve">2024 </w:t>
      </w:r>
      <w:r w:rsidR="00A213D5" w:rsidRPr="00D24919">
        <w:rPr>
          <w:sz w:val="22"/>
          <w:szCs w:val="22"/>
        </w:rPr>
        <w:t xml:space="preserve">and applications for the </w:t>
      </w:r>
      <w:r w:rsidR="00A213D5" w:rsidRPr="00D24919">
        <w:rPr>
          <w:rStyle w:val="Strong"/>
          <w:rFonts w:eastAsia="AppleGothic"/>
          <w:sz w:val="22"/>
          <w:szCs w:val="22"/>
        </w:rPr>
        <w:t>second batch doubling</w:t>
      </w:r>
      <w:r w:rsidR="00A213D5" w:rsidRPr="00D24919">
        <w:rPr>
          <w:sz w:val="22"/>
          <w:szCs w:val="22"/>
        </w:rPr>
        <w:t xml:space="preserve">, demonstrating a growing recognition of the field’s importance. This demand reflects Sri Lanka’s increasing need for </w:t>
      </w:r>
      <w:r w:rsidR="00A213D5" w:rsidRPr="00D24919">
        <w:rPr>
          <w:rStyle w:val="Strong"/>
          <w:rFonts w:eastAsia="AppleGothic"/>
          <w:sz w:val="22"/>
          <w:szCs w:val="22"/>
        </w:rPr>
        <w:t>qualified environmental law professionals</w:t>
      </w:r>
      <w:r w:rsidR="00A213D5" w:rsidRPr="00D24919">
        <w:rPr>
          <w:sz w:val="22"/>
          <w:szCs w:val="22"/>
        </w:rPr>
        <w:t xml:space="preserve"> who can contribute to </w:t>
      </w:r>
      <w:r w:rsidR="00A213D5" w:rsidRPr="00D24919">
        <w:rPr>
          <w:rStyle w:val="Strong"/>
          <w:rFonts w:eastAsia="AppleGothic"/>
          <w:sz w:val="22"/>
          <w:szCs w:val="22"/>
        </w:rPr>
        <w:t>legal reforms, policy development, and climate litigation</w:t>
      </w:r>
      <w:r w:rsidR="00A213D5" w:rsidRPr="00D24919">
        <w:rPr>
          <w:sz w:val="22"/>
          <w:szCs w:val="22"/>
        </w:rPr>
        <w:t xml:space="preserve"> in response to the country’s environmental vulnerabilities. By ensuring that legal education aligns with </w:t>
      </w:r>
      <w:r w:rsidR="00A213D5" w:rsidRPr="00D24919">
        <w:rPr>
          <w:rStyle w:val="Strong"/>
          <w:rFonts w:eastAsia="AppleGothic"/>
          <w:sz w:val="22"/>
          <w:szCs w:val="22"/>
        </w:rPr>
        <w:t>Sri Lanka’s emerging environmental priorities</w:t>
      </w:r>
      <w:r w:rsidR="00A213D5" w:rsidRPr="00D24919">
        <w:rPr>
          <w:sz w:val="22"/>
          <w:szCs w:val="22"/>
        </w:rPr>
        <w:t xml:space="preserve">, JURE has created a </w:t>
      </w:r>
      <w:r w:rsidR="00A213D5" w:rsidRPr="00D24919">
        <w:rPr>
          <w:rStyle w:val="Strong"/>
          <w:rFonts w:eastAsia="AppleGothic"/>
          <w:sz w:val="22"/>
          <w:szCs w:val="22"/>
        </w:rPr>
        <w:t>sustainable and impactful mechanism</w:t>
      </w:r>
      <w:r w:rsidR="00A213D5" w:rsidRPr="00D24919">
        <w:rPr>
          <w:sz w:val="22"/>
          <w:szCs w:val="22"/>
        </w:rPr>
        <w:t xml:space="preserve"> for addressing the nation’s legal capacity gaps in climate and environmental governance. This initiative is not only </w:t>
      </w:r>
      <w:r w:rsidR="00A213D5" w:rsidRPr="00D24919">
        <w:rPr>
          <w:rStyle w:val="Strong"/>
          <w:rFonts w:eastAsia="AppleGothic"/>
          <w:sz w:val="22"/>
          <w:szCs w:val="22"/>
        </w:rPr>
        <w:t>timely but essential</w:t>
      </w:r>
      <w:r w:rsidR="00A213D5" w:rsidRPr="00D24919">
        <w:rPr>
          <w:sz w:val="22"/>
          <w:szCs w:val="22"/>
        </w:rPr>
        <w:t xml:space="preserve"> in equipping future generations of Sri Lankan legal professionals to navigate the complexities of global warming, ensuring that Sri Lanka is better positioned to meet both its </w:t>
      </w:r>
      <w:r w:rsidR="00A213D5" w:rsidRPr="00D24919">
        <w:rPr>
          <w:rStyle w:val="Strong"/>
          <w:rFonts w:eastAsia="AppleGothic"/>
          <w:sz w:val="22"/>
          <w:szCs w:val="22"/>
        </w:rPr>
        <w:t>domestic environmental challenges and international climate commitments</w:t>
      </w:r>
      <w:r w:rsidR="00A213D5" w:rsidRPr="00D24919">
        <w:rPr>
          <w:sz w:val="22"/>
          <w:szCs w:val="22"/>
        </w:rPr>
        <w:t>.</w:t>
      </w:r>
    </w:p>
    <w:p w14:paraId="6BD0043A" w14:textId="77777777" w:rsidR="00492B9E" w:rsidRPr="007A5C5F" w:rsidRDefault="00492B9E" w:rsidP="003724A8">
      <w:pPr>
        <w:rPr>
          <w:lang w:val="en-GB"/>
        </w:rPr>
      </w:pPr>
    </w:p>
    <w:p w14:paraId="0D5FBB61" w14:textId="77777777" w:rsidR="003724A8" w:rsidRPr="007A5C5F" w:rsidRDefault="003724A8" w:rsidP="00443215">
      <w:pPr>
        <w:pStyle w:val="Heading2"/>
        <w:rPr>
          <w:rFonts w:ascii="Times New Roman" w:hAnsi="Times New Roman" w:cs="Times New Roman"/>
          <w:lang w:val="en-GB"/>
        </w:rPr>
      </w:pPr>
      <w:bookmarkStart w:id="25" w:name="_Toc188348264"/>
      <w:r w:rsidRPr="007A5C5F">
        <w:rPr>
          <w:rFonts w:ascii="Times New Roman" w:hAnsi="Times New Roman" w:cs="Times New Roman"/>
          <w:lang w:val="en-GB"/>
        </w:rPr>
        <w:t>HUMAN RIGHTS, GENDER EQUALITY, DISABILITY INCLUSION AND LEAVING NO ONE BEHIND</w:t>
      </w:r>
      <w:bookmarkEnd w:id="25"/>
    </w:p>
    <w:p w14:paraId="2CA43A7A" w14:textId="77777777" w:rsidR="003724A8" w:rsidRPr="006D3B28" w:rsidRDefault="003724A8" w:rsidP="004E5BAB">
      <w:pPr>
        <w:pStyle w:val="Heading4"/>
        <w:rPr>
          <w:rFonts w:ascii="Times New Roman" w:hAnsi="Times New Roman" w:cs="Times New Roman"/>
          <w:sz w:val="22"/>
          <w:szCs w:val="22"/>
          <w:lang w:val="en-GB"/>
        </w:rPr>
      </w:pPr>
      <w:r w:rsidRPr="006D3B28">
        <w:rPr>
          <w:rFonts w:ascii="Times New Roman" w:hAnsi="Times New Roman" w:cs="Times New Roman"/>
          <w:sz w:val="22"/>
          <w:szCs w:val="22"/>
          <w:lang w:val="en-GB"/>
        </w:rPr>
        <w:t>EVALUATION QUESTIONS:</w:t>
      </w:r>
    </w:p>
    <w:p w14:paraId="7547BC30" w14:textId="77777777" w:rsidR="00A6714C" w:rsidRPr="006D3B28" w:rsidRDefault="00A6714C" w:rsidP="00AD0F94">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6D3B28">
        <w:rPr>
          <w:b/>
          <w:bCs/>
          <w:i/>
          <w:iCs/>
          <w:color w:val="70AD47" w:themeColor="accent6"/>
          <w:sz w:val="22"/>
          <w:szCs w:val="22"/>
          <w:lang w:val="en-GB"/>
        </w:rPr>
        <w:t>To what extent has the project integrated gender equality and human rights considerations into its design, implementation, and outcomes?</w:t>
      </w:r>
    </w:p>
    <w:p w14:paraId="6BA4D99A" w14:textId="4EFEE862" w:rsidR="00FE48EB" w:rsidRPr="006D3B28" w:rsidRDefault="00FE48EB" w:rsidP="00AD0F94">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6D3B28">
        <w:rPr>
          <w:b/>
          <w:bCs/>
          <w:i/>
          <w:iCs/>
          <w:color w:val="70AD47" w:themeColor="accent6"/>
          <w:sz w:val="22"/>
          <w:szCs w:val="22"/>
          <w:lang w:val="en-GB"/>
        </w:rPr>
        <w:t>How gender-responsive are the project’s indicators, and do they capture relevant data and changes?</w:t>
      </w:r>
    </w:p>
    <w:p w14:paraId="5C0B7878" w14:textId="77777777" w:rsidR="00A6714C" w:rsidRPr="006D3B28" w:rsidRDefault="00A6714C" w:rsidP="00AD0F94">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6D3B28">
        <w:rPr>
          <w:b/>
          <w:bCs/>
          <w:i/>
          <w:iCs/>
          <w:color w:val="70AD47" w:themeColor="accent6"/>
          <w:sz w:val="22"/>
          <w:szCs w:val="22"/>
          <w:lang w:val="en-GB"/>
        </w:rPr>
        <w:t>How effectively has the Gender Action Plan been implemented, and what progress has been made toward achieving gender-related results?</w:t>
      </w:r>
    </w:p>
    <w:p w14:paraId="3F19772D" w14:textId="77777777" w:rsidR="00A6714C" w:rsidRPr="006D3B28" w:rsidRDefault="00A6714C" w:rsidP="00AD0F94">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6D3B28">
        <w:rPr>
          <w:b/>
          <w:bCs/>
          <w:i/>
          <w:iCs/>
          <w:color w:val="70AD47" w:themeColor="accent6"/>
          <w:sz w:val="22"/>
          <w:szCs w:val="22"/>
          <w:lang w:val="en-GB"/>
        </w:rPr>
        <w:t>What challenges or risks have emerged in implementing the project’s gender equality and human rights strategies?</w:t>
      </w:r>
    </w:p>
    <w:p w14:paraId="18FEC2DD" w14:textId="77777777" w:rsidR="00257F0A" w:rsidRPr="007A5C5F" w:rsidRDefault="00257F0A" w:rsidP="00257F0A">
      <w:pPr>
        <w:rPr>
          <w:lang w:val="en-GB"/>
        </w:rPr>
      </w:pPr>
    </w:p>
    <w:tbl>
      <w:tblPr>
        <w:tblStyle w:val="IESTable"/>
        <w:tblW w:w="0" w:type="auto"/>
        <w:tblLook w:val="04A0" w:firstRow="1" w:lastRow="0" w:firstColumn="1" w:lastColumn="0" w:noHBand="0" w:noVBand="1"/>
      </w:tblPr>
      <w:tblGrid>
        <w:gridCol w:w="9580"/>
      </w:tblGrid>
      <w:tr w:rsidR="005961C3" w:rsidRPr="007A5C5F" w14:paraId="2AE734C6" w14:textId="77777777" w:rsidTr="005961C3">
        <w:trPr>
          <w:cnfStyle w:val="100000000000" w:firstRow="1" w:lastRow="0" w:firstColumn="0" w:lastColumn="0" w:oddVBand="0" w:evenVBand="0" w:oddHBand="0" w:evenHBand="0" w:firstRowFirstColumn="0" w:firstRowLastColumn="0" w:lastRowFirstColumn="0" w:lastRowLastColumn="0"/>
        </w:trPr>
        <w:tc>
          <w:tcPr>
            <w:tcW w:w="9580" w:type="dxa"/>
          </w:tcPr>
          <w:p w14:paraId="38E100C4" w14:textId="4D0DA2EB" w:rsidR="005961C3" w:rsidRPr="007A5C5F" w:rsidRDefault="005961C3" w:rsidP="005961C3">
            <w:pPr>
              <w:jc w:val="both"/>
              <w:rPr>
                <w:lang w:val="en-GB"/>
              </w:rPr>
            </w:pPr>
            <w:r w:rsidRPr="007A5C5F">
              <w:rPr>
                <w:b/>
                <w:szCs w:val="22"/>
                <w:lang w:val="en-GB"/>
              </w:rPr>
              <w:t>Rationale</w:t>
            </w:r>
            <w:r w:rsidRPr="007A5C5F">
              <w:rPr>
                <w:szCs w:val="22"/>
                <w:lang w:val="en-GB"/>
              </w:rPr>
              <w:t>: This criterion evaluates the degree to which the project mainstreams gender equality and a human rights-based approach throughout its interventions. The project’s ability to effectively address the justice needs of women, children, and other vulnerable groups is a core element of this assessment.</w:t>
            </w:r>
          </w:p>
        </w:tc>
      </w:tr>
    </w:tbl>
    <w:p w14:paraId="4F2C8909" w14:textId="77777777" w:rsidR="005961C3" w:rsidRPr="007A5C5F" w:rsidRDefault="005961C3" w:rsidP="00257F0A">
      <w:pPr>
        <w:rPr>
          <w:lang w:val="en-GB"/>
        </w:rPr>
      </w:pPr>
    </w:p>
    <w:p w14:paraId="0F9E4461" w14:textId="644C049E" w:rsidR="007C3C24" w:rsidRPr="007A5C5F" w:rsidRDefault="002C2C09" w:rsidP="00AD0F94">
      <w:pPr>
        <w:pStyle w:val="ListParagraph"/>
        <w:numPr>
          <w:ilvl w:val="0"/>
          <w:numId w:val="49"/>
        </w:numPr>
        <w:jc w:val="both"/>
        <w:rPr>
          <w:sz w:val="22"/>
          <w:szCs w:val="22"/>
          <w:lang w:val="en-GB"/>
        </w:rPr>
      </w:pPr>
      <w:r w:rsidRPr="007A5C5F">
        <w:rPr>
          <w:sz w:val="22"/>
          <w:szCs w:val="22"/>
          <w:lang w:val="en-GB"/>
        </w:rPr>
        <w:t>UNDP Sri Lanka achieved the Gold Gender Equality Seal</w:t>
      </w:r>
      <w:r w:rsidRPr="007A5C5F">
        <w:rPr>
          <w:lang w:val="en-GB"/>
        </w:rPr>
        <w:footnoteReference w:id="79"/>
      </w:r>
      <w:r w:rsidRPr="007A5C5F">
        <w:rPr>
          <w:sz w:val="22"/>
          <w:szCs w:val="22"/>
          <w:lang w:val="en-GB"/>
        </w:rPr>
        <w:t>, reflecting the Country Office's leadership and excellence in advancing gender equality, making it a role model within the organization and for external stakeholders. It is a recognition of their dedication to creating meaningful change in line with the Sustainable Development Goals (SDG 5: Gender Equality).</w:t>
      </w:r>
    </w:p>
    <w:p w14:paraId="2202B653" w14:textId="453E4985" w:rsidR="00AD0F94" w:rsidRPr="007A5C5F" w:rsidRDefault="00257F0A" w:rsidP="00AD0F94">
      <w:pPr>
        <w:pStyle w:val="ListParagraph"/>
        <w:numPr>
          <w:ilvl w:val="0"/>
          <w:numId w:val="49"/>
        </w:numPr>
        <w:jc w:val="both"/>
        <w:rPr>
          <w:b/>
          <w:bCs/>
          <w:sz w:val="22"/>
          <w:szCs w:val="22"/>
          <w:lang w:val="en-GB"/>
        </w:rPr>
      </w:pPr>
      <w:r w:rsidRPr="007A5C5F">
        <w:rPr>
          <w:b/>
          <w:bCs/>
          <w:sz w:val="22"/>
          <w:szCs w:val="22"/>
          <w:lang w:val="en-GB"/>
        </w:rPr>
        <w:lastRenderedPageBreak/>
        <w:t>Finding</w:t>
      </w:r>
      <w:r w:rsidR="009E2B5C" w:rsidRPr="007A5C5F">
        <w:rPr>
          <w:b/>
          <w:bCs/>
          <w:sz w:val="22"/>
          <w:szCs w:val="22"/>
          <w:lang w:val="en-GB"/>
        </w:rPr>
        <w:t xml:space="preserve"> 1</w:t>
      </w:r>
      <w:r w:rsidR="00355BD2" w:rsidRPr="007A5C5F">
        <w:rPr>
          <w:b/>
          <w:bCs/>
          <w:sz w:val="22"/>
          <w:szCs w:val="22"/>
          <w:lang w:val="en-GB"/>
        </w:rPr>
        <w:t>4</w:t>
      </w:r>
      <w:r w:rsidR="009E2B5C" w:rsidRPr="007A5C5F">
        <w:rPr>
          <w:b/>
          <w:bCs/>
          <w:sz w:val="22"/>
          <w:szCs w:val="22"/>
          <w:lang w:val="en-GB"/>
        </w:rPr>
        <w:t xml:space="preserve">. </w:t>
      </w:r>
      <w:r w:rsidR="004D5322" w:rsidRPr="007A5C5F">
        <w:rPr>
          <w:b/>
          <w:bCs/>
          <w:sz w:val="22"/>
          <w:szCs w:val="22"/>
          <w:lang w:val="en-GB"/>
        </w:rPr>
        <w:t xml:space="preserve">Finding JURE’s Gender Action Plan demonstrates a strong commitment to gender mainstreaming, and the project has moved from foundational assessments in 2023 to partial implementation in 2024, with notable advancements in infrastructure, legal reforms, </w:t>
      </w:r>
      <w:r w:rsidR="00597CD7">
        <w:rPr>
          <w:b/>
          <w:bCs/>
          <w:sz w:val="22"/>
          <w:szCs w:val="22"/>
          <w:lang w:val="en-GB"/>
        </w:rPr>
        <w:t xml:space="preserve">and </w:t>
      </w:r>
      <w:r w:rsidR="004D5322" w:rsidRPr="007A5C5F">
        <w:rPr>
          <w:b/>
          <w:bCs/>
          <w:sz w:val="22"/>
          <w:szCs w:val="22"/>
          <w:lang w:val="en-GB"/>
        </w:rPr>
        <w:t xml:space="preserve">community awareness. However, further efforts are needed to accelerate progress and address systemic barriers comprehensively. </w:t>
      </w:r>
    </w:p>
    <w:p w14:paraId="0B82BE7B" w14:textId="3D584C98" w:rsidR="00AD0F94" w:rsidRPr="007A5C5F" w:rsidRDefault="00201014" w:rsidP="00AD0F94">
      <w:pPr>
        <w:pStyle w:val="ListParagraph"/>
        <w:numPr>
          <w:ilvl w:val="0"/>
          <w:numId w:val="49"/>
        </w:numPr>
        <w:jc w:val="both"/>
        <w:rPr>
          <w:b/>
          <w:bCs/>
          <w:sz w:val="22"/>
          <w:szCs w:val="22"/>
          <w:lang w:val="en-GB"/>
        </w:rPr>
      </w:pPr>
      <w:r w:rsidRPr="007A5C5F">
        <w:rPr>
          <w:sz w:val="22"/>
          <w:szCs w:val="22"/>
          <w:lang w:val="en-GB"/>
        </w:rPr>
        <w:t xml:space="preserve">The JURE project is supported by a robust Gender Action Plan (GAP), ensuring gender mainstreaming across all activities during its implementation period from January 2022 to May 2026. Aligned with the EU Gender Action Plan III (GAP III), the JURE GAP incorporates specific indicators such as the percentage of referred cases of gender-based and sexual violence against women and children that are investigated and resolved, and the extent of state resource allocation to prevent and eliminate GBV. The plan outlines 20 key activities, including training 120 family </w:t>
      </w:r>
      <w:r w:rsidR="007A5C5F" w:rsidRPr="007A5C5F">
        <w:rPr>
          <w:sz w:val="22"/>
          <w:szCs w:val="22"/>
          <w:lang w:val="en-GB"/>
        </w:rPr>
        <w:t>counsellors</w:t>
      </w:r>
      <w:r w:rsidRPr="007A5C5F">
        <w:rPr>
          <w:sz w:val="22"/>
          <w:szCs w:val="22"/>
          <w:lang w:val="en-GB"/>
        </w:rPr>
        <w:t xml:space="preserve"> on implementing the Domestic Violence Act and developing gender-sensitive facilities in courts. A total of €1 million has been allocated for data collection and capacity building, including €400,000 for training justice sector professionals and €100,000 for infrastructure upgrades. Baselines established under the GAP, such as the 18.9% of women who have experienced physical violence, guide targeted interventions aimed at reducing systemic disparities. Gender-equitable progress outputs include a projected 15% increase in SGBV cases registered at legal aid centers and the establishment of gender-responsive legal reforms, ensuring a measurable impact on justice system inclusivity</w:t>
      </w:r>
      <w:r w:rsidRPr="007A5C5F">
        <w:rPr>
          <w:rStyle w:val="FootnoteReference"/>
          <w:sz w:val="22"/>
          <w:szCs w:val="22"/>
          <w:lang w:val="en-GB"/>
        </w:rPr>
        <w:footnoteReference w:id="80"/>
      </w:r>
      <w:r w:rsidRPr="007A5C5F">
        <w:rPr>
          <w:sz w:val="22"/>
          <w:szCs w:val="22"/>
          <w:lang w:val="en-GB"/>
        </w:rPr>
        <w:t xml:space="preserve">. </w:t>
      </w:r>
    </w:p>
    <w:p w14:paraId="1CE8CEA7" w14:textId="39299696" w:rsidR="00CC4596" w:rsidRPr="007A5C5F" w:rsidRDefault="00201014" w:rsidP="00AD0F94">
      <w:pPr>
        <w:pStyle w:val="ListParagraph"/>
        <w:numPr>
          <w:ilvl w:val="0"/>
          <w:numId w:val="49"/>
        </w:numPr>
        <w:jc w:val="both"/>
        <w:rPr>
          <w:b/>
          <w:bCs/>
          <w:sz w:val="22"/>
          <w:szCs w:val="22"/>
          <w:lang w:val="en-GB"/>
        </w:rPr>
      </w:pPr>
      <w:r w:rsidRPr="007A5C5F">
        <w:rPr>
          <w:sz w:val="22"/>
          <w:szCs w:val="22"/>
          <w:lang w:val="en-GB"/>
        </w:rPr>
        <w:t>Progress against the implementation of the Gender Action Plan for the JURE Project demonstrates notable advancements across several key activities.</w:t>
      </w:r>
      <w:r w:rsidR="004D5322" w:rsidRPr="007A5C5F">
        <w:rPr>
          <w:i/>
          <w:iCs/>
          <w:sz w:val="22"/>
          <w:szCs w:val="22"/>
          <w:lang w:val="en-GB"/>
        </w:rPr>
        <w:t xml:space="preserve"> </w:t>
      </w:r>
      <w:r w:rsidR="004D5322" w:rsidRPr="007A5C5F">
        <w:rPr>
          <w:rFonts w:eastAsia="SimSun"/>
          <w:sz w:val="22"/>
          <w:szCs w:val="22"/>
          <w:lang w:val="en-GB" w:eastAsia="zh-CN"/>
        </w:rPr>
        <w:t xml:space="preserve">Between 2023 and 2024, the JURE Project’s Gender Action Plan demonstrated steady progress in implementing gender-sensitive justice reforms. Legal aid services expanded slightly, with the Legal Aid Commission (LAC) handling 12,982 cases in 2023 and sustaining similar levels in 2024. Workshops benefitted 2,893 women in 2023 and 1,995 in 2024, highlighting ongoing outreach to vulnerable groups. Capacity-building efforts transitioned from planning to implementation, with judicial officials (35 magistrates and 75 High Court judges) trained on child protection in 2023 and consultants hired in 2024 to deliver gender capacity-building programs. </w:t>
      </w:r>
    </w:p>
    <w:p w14:paraId="704677CB" w14:textId="77777777" w:rsidR="00CC4596" w:rsidRPr="007A5C5F" w:rsidRDefault="004D5322" w:rsidP="00AD0F94">
      <w:pPr>
        <w:pStyle w:val="ListParagraph"/>
        <w:numPr>
          <w:ilvl w:val="0"/>
          <w:numId w:val="49"/>
        </w:numPr>
        <w:jc w:val="both"/>
        <w:rPr>
          <w:sz w:val="22"/>
          <w:szCs w:val="22"/>
          <w:lang w:val="en-GB"/>
        </w:rPr>
      </w:pPr>
      <w:r w:rsidRPr="007A5C5F">
        <w:rPr>
          <w:sz w:val="22"/>
          <w:szCs w:val="22"/>
          <w:lang w:val="en-GB"/>
        </w:rPr>
        <w:t xml:space="preserve">Legal reforms advanced, including amendments to the Penal Code in 2023 addressing statutory rape and inheritance rights, while drafting guidelines for victim and witness protection laws progressed in 2024. Infrastructure assessments conducted in 2023 for child-friendly and gender-sensitive facilities transitioned to implementation in 2024, with digital testimony systems installed in the Kandy High Court. </w:t>
      </w:r>
    </w:p>
    <w:p w14:paraId="47A819A0" w14:textId="77777777" w:rsidR="00CC4596" w:rsidRPr="007A5C5F" w:rsidRDefault="004D5322" w:rsidP="00AD0F94">
      <w:pPr>
        <w:pStyle w:val="ListParagraph"/>
        <w:numPr>
          <w:ilvl w:val="0"/>
          <w:numId w:val="49"/>
        </w:numPr>
        <w:jc w:val="both"/>
        <w:rPr>
          <w:sz w:val="22"/>
          <w:szCs w:val="22"/>
          <w:lang w:val="en-GB"/>
        </w:rPr>
      </w:pPr>
      <w:r w:rsidRPr="007A5C5F">
        <w:rPr>
          <w:sz w:val="22"/>
          <w:szCs w:val="22"/>
          <w:lang w:val="en-GB"/>
        </w:rPr>
        <w:t xml:space="preserve">Community engagement deepened, with 278 women leaders trained on SGBV laws in 2023 and further outreach through media campaigns and legal aid camps in 2024. Efforts to address data collection gaps led to updated gender-disaggregated data formats being implemented in 2024, supporting evidence-based programming. </w:t>
      </w:r>
    </w:p>
    <w:p w14:paraId="27821F04" w14:textId="3D64B5B7" w:rsidR="001D268A" w:rsidRPr="007A5C5F" w:rsidRDefault="004D5322" w:rsidP="00AD0F94">
      <w:pPr>
        <w:pStyle w:val="ListParagraph"/>
        <w:numPr>
          <w:ilvl w:val="0"/>
          <w:numId w:val="49"/>
        </w:numPr>
        <w:jc w:val="both"/>
        <w:rPr>
          <w:sz w:val="22"/>
          <w:szCs w:val="22"/>
          <w:lang w:val="en-GB"/>
        </w:rPr>
      </w:pPr>
      <w:r w:rsidRPr="007A5C5F">
        <w:rPr>
          <w:sz w:val="22"/>
          <w:szCs w:val="22"/>
          <w:lang w:val="en-GB"/>
        </w:rPr>
        <w:t xml:space="preserve">Overall, the project has moved from foundational assessments in 2023 to partial implementation in 2024, with notable advancements in infrastructure, legal reforms, and community awareness, although further efforts are needed to accelerate progress and address systemic barriers </w:t>
      </w:r>
      <w:r w:rsidRPr="007A5C5F">
        <w:rPr>
          <w:rFonts w:eastAsia="SimSun"/>
          <w:sz w:val="22"/>
          <w:szCs w:val="22"/>
          <w:lang w:val="en-GB" w:eastAsia="zh-CN"/>
        </w:rPr>
        <w:t>comprehensive</w:t>
      </w:r>
      <w:r w:rsidRPr="007A5C5F">
        <w:rPr>
          <w:sz w:val="22"/>
          <w:szCs w:val="22"/>
          <w:lang w:val="en-GB"/>
        </w:rPr>
        <w:t>ly</w:t>
      </w:r>
      <w:r w:rsidR="00201014" w:rsidRPr="007A5C5F">
        <w:rPr>
          <w:rStyle w:val="FootnoteReference"/>
          <w:sz w:val="22"/>
          <w:szCs w:val="22"/>
          <w:lang w:val="en-GB"/>
        </w:rPr>
        <w:footnoteReference w:id="81"/>
      </w:r>
      <w:r w:rsidRPr="007A5C5F">
        <w:rPr>
          <w:sz w:val="22"/>
          <w:szCs w:val="22"/>
          <w:lang w:val="en-GB"/>
        </w:rPr>
        <w:t xml:space="preserve">. </w:t>
      </w:r>
      <w:r w:rsidR="001D268A" w:rsidRPr="007A5C5F">
        <w:rPr>
          <w:sz w:val="22"/>
          <w:szCs w:val="22"/>
          <w:lang w:val="en-GB"/>
        </w:rPr>
        <w:t>Some initiatives, like gender capacity building for judges and lawyers and the operationalization of victim and witness protection laws, remain in progress, emphasizing the need for sustained efforts to meet all objectives</w:t>
      </w:r>
      <w:r w:rsidR="001D268A" w:rsidRPr="007A5C5F">
        <w:rPr>
          <w:rStyle w:val="FootnoteReference"/>
          <w:sz w:val="22"/>
          <w:szCs w:val="22"/>
          <w:lang w:val="en-GB"/>
        </w:rPr>
        <w:footnoteReference w:id="82"/>
      </w:r>
      <w:r w:rsidR="001D268A" w:rsidRPr="007A5C5F">
        <w:rPr>
          <w:sz w:val="22"/>
          <w:szCs w:val="22"/>
          <w:lang w:val="en-GB"/>
        </w:rPr>
        <w:t>.</w:t>
      </w:r>
    </w:p>
    <w:p w14:paraId="5272E852" w14:textId="12097550" w:rsidR="00CB2C17" w:rsidRPr="007A5C5F" w:rsidRDefault="009E2B5C" w:rsidP="00AD0F94">
      <w:pPr>
        <w:pStyle w:val="ListParagraph"/>
        <w:numPr>
          <w:ilvl w:val="0"/>
          <w:numId w:val="49"/>
        </w:numPr>
        <w:jc w:val="both"/>
        <w:rPr>
          <w:sz w:val="22"/>
          <w:szCs w:val="22"/>
          <w:lang w:val="en-GB"/>
        </w:rPr>
      </w:pPr>
      <w:r w:rsidRPr="007A5C5F">
        <w:rPr>
          <w:b/>
          <w:bCs/>
          <w:sz w:val="22"/>
          <w:szCs w:val="22"/>
          <w:lang w:val="en-GB"/>
        </w:rPr>
        <w:t xml:space="preserve">Finding </w:t>
      </w:r>
      <w:r w:rsidR="005B64A2" w:rsidRPr="007A5C5F">
        <w:rPr>
          <w:b/>
          <w:bCs/>
          <w:sz w:val="22"/>
          <w:szCs w:val="22"/>
          <w:lang w:val="en-GB"/>
        </w:rPr>
        <w:t>1</w:t>
      </w:r>
      <w:r w:rsidR="00355BD2" w:rsidRPr="007A5C5F">
        <w:rPr>
          <w:b/>
          <w:bCs/>
          <w:sz w:val="22"/>
          <w:szCs w:val="22"/>
          <w:lang w:val="en-GB"/>
        </w:rPr>
        <w:t>5</w:t>
      </w:r>
      <w:r w:rsidR="005B64A2" w:rsidRPr="007A5C5F">
        <w:rPr>
          <w:b/>
          <w:bCs/>
          <w:sz w:val="22"/>
          <w:szCs w:val="22"/>
          <w:lang w:val="en-GB"/>
        </w:rPr>
        <w:t>. The</w:t>
      </w:r>
      <w:r w:rsidR="004D5322" w:rsidRPr="007A5C5F">
        <w:rPr>
          <w:b/>
          <w:bCs/>
          <w:sz w:val="22"/>
          <w:szCs w:val="22"/>
          <w:lang w:val="en-GB"/>
        </w:rPr>
        <w:t xml:space="preserve"> evaluation finds that t</w:t>
      </w:r>
      <w:r w:rsidR="00201014" w:rsidRPr="007A5C5F">
        <w:rPr>
          <w:b/>
          <w:bCs/>
          <w:sz w:val="22"/>
          <w:szCs w:val="22"/>
          <w:lang w:val="en-GB"/>
        </w:rPr>
        <w:t xml:space="preserve">he </w:t>
      </w:r>
      <w:r w:rsidRPr="007A5C5F">
        <w:rPr>
          <w:b/>
          <w:bCs/>
          <w:sz w:val="22"/>
          <w:szCs w:val="22"/>
          <w:lang w:val="en-GB"/>
        </w:rPr>
        <w:t>2024 Work P</w:t>
      </w:r>
      <w:r w:rsidR="00201014" w:rsidRPr="007A5C5F">
        <w:rPr>
          <w:b/>
          <w:bCs/>
          <w:sz w:val="22"/>
          <w:szCs w:val="22"/>
          <w:lang w:val="en-GB"/>
        </w:rPr>
        <w:t xml:space="preserve">lan places heavy emphasis on capacity building without sufficiently addressing structural issues or ensuring robust accountability mechanisms among justice sector </w:t>
      </w:r>
      <w:r w:rsidR="001B7E90" w:rsidRPr="007A5C5F">
        <w:rPr>
          <w:b/>
          <w:bCs/>
          <w:sz w:val="22"/>
          <w:szCs w:val="22"/>
          <w:lang w:val="en-GB"/>
        </w:rPr>
        <w:t>actors. Thus</w:t>
      </w:r>
      <w:r w:rsidR="004D5322" w:rsidRPr="007A5C5F">
        <w:rPr>
          <w:b/>
          <w:bCs/>
          <w:sz w:val="22"/>
          <w:szCs w:val="22"/>
          <w:lang w:val="en-GB"/>
        </w:rPr>
        <w:t xml:space="preserve">, there are rooms for the </w:t>
      </w:r>
      <w:r w:rsidRPr="007A5C5F">
        <w:rPr>
          <w:b/>
          <w:bCs/>
          <w:sz w:val="22"/>
          <w:szCs w:val="22"/>
          <w:lang w:val="en-GB"/>
        </w:rPr>
        <w:t>improvement</w:t>
      </w:r>
      <w:r w:rsidR="001B7E90" w:rsidRPr="007A5C5F">
        <w:rPr>
          <w:b/>
          <w:bCs/>
          <w:sz w:val="22"/>
          <w:szCs w:val="22"/>
          <w:lang w:val="en-GB"/>
        </w:rPr>
        <w:t>.</w:t>
      </w:r>
      <w:r w:rsidR="00201014" w:rsidRPr="007A5C5F">
        <w:rPr>
          <w:sz w:val="22"/>
          <w:szCs w:val="22"/>
          <w:lang w:val="en-GB"/>
        </w:rPr>
        <w:t xml:space="preserve"> </w:t>
      </w:r>
    </w:p>
    <w:p w14:paraId="4EF9C584" w14:textId="1873D205" w:rsidR="00201014" w:rsidRPr="007A5C5F" w:rsidRDefault="001B7E90" w:rsidP="00AD0F94">
      <w:pPr>
        <w:pStyle w:val="ListParagraph"/>
        <w:numPr>
          <w:ilvl w:val="0"/>
          <w:numId w:val="49"/>
        </w:numPr>
        <w:jc w:val="both"/>
        <w:rPr>
          <w:sz w:val="22"/>
          <w:szCs w:val="22"/>
          <w:lang w:val="en-GB"/>
        </w:rPr>
      </w:pPr>
      <w:r w:rsidRPr="007A5C5F">
        <w:rPr>
          <w:sz w:val="22"/>
          <w:szCs w:val="22"/>
          <w:lang w:val="en-GB"/>
        </w:rPr>
        <w:t xml:space="preserve">For example, </w:t>
      </w:r>
      <w:r w:rsidR="009E2B5C" w:rsidRPr="007A5C5F">
        <w:rPr>
          <w:sz w:val="22"/>
          <w:szCs w:val="22"/>
          <w:lang w:val="en-GB"/>
        </w:rPr>
        <w:t>coordination</w:t>
      </w:r>
      <w:r w:rsidR="00201014" w:rsidRPr="007A5C5F">
        <w:rPr>
          <w:sz w:val="22"/>
          <w:szCs w:val="22"/>
          <w:lang w:val="en-GB"/>
        </w:rPr>
        <w:t xml:space="preserve"> among stakeholders is inadequately detailed</w:t>
      </w:r>
      <w:r w:rsidRPr="007A5C5F">
        <w:rPr>
          <w:sz w:val="22"/>
          <w:szCs w:val="22"/>
          <w:lang w:val="en-GB"/>
        </w:rPr>
        <w:t xml:space="preserve"> in the </w:t>
      </w:r>
      <w:r w:rsidR="009E2B5C" w:rsidRPr="007A5C5F">
        <w:rPr>
          <w:sz w:val="22"/>
          <w:szCs w:val="22"/>
          <w:lang w:val="en-GB"/>
        </w:rPr>
        <w:t>document</w:t>
      </w:r>
      <w:r w:rsidR="00201014" w:rsidRPr="007A5C5F">
        <w:rPr>
          <w:sz w:val="22"/>
          <w:szCs w:val="22"/>
          <w:lang w:val="en-GB"/>
        </w:rPr>
        <w:t>, and some areas, such as economic empowerment and victim-sensitive infrastructure, appear underfunded. Additionally, delayed implementation of certain activities risks slowing progress on critical gender equity objectives. Strengthening systemic reforms, improving coordination, and ensuring adequate funding and accountability are essential for achieving the plan’s intended impact.</w:t>
      </w:r>
    </w:p>
    <w:p w14:paraId="4AD22FB6" w14:textId="23B652EF" w:rsidR="00201014" w:rsidRPr="007A5C5F" w:rsidRDefault="001B7E90" w:rsidP="00AD0F94">
      <w:pPr>
        <w:pStyle w:val="ListParagraph"/>
        <w:numPr>
          <w:ilvl w:val="0"/>
          <w:numId w:val="49"/>
        </w:numPr>
        <w:jc w:val="both"/>
        <w:rPr>
          <w:sz w:val="22"/>
          <w:szCs w:val="22"/>
          <w:lang w:val="en-GB"/>
        </w:rPr>
      </w:pPr>
      <w:r w:rsidRPr="007A5C5F">
        <w:rPr>
          <w:sz w:val="22"/>
          <w:szCs w:val="22"/>
          <w:lang w:val="en-GB"/>
        </w:rPr>
        <w:t xml:space="preserve">The evaluators identified a notable initiative within the JURE Project that, while tangential to its primary goal of improving access to justice for children, has had a significant impact on family and </w:t>
      </w:r>
      <w:r w:rsidRPr="007A5C5F">
        <w:rPr>
          <w:sz w:val="22"/>
          <w:szCs w:val="22"/>
          <w:lang w:val="en-GB"/>
        </w:rPr>
        <w:lastRenderedPageBreak/>
        <w:t>community welfare. The initiative, which economically empowered single mothers by providing kitchen equipment to enable them to earn a livelihood, demonstrated transformative effects</w:t>
      </w:r>
      <w:r w:rsidR="00F73416">
        <w:rPr>
          <w:sz w:val="22"/>
          <w:szCs w:val="22"/>
          <w:lang w:val="en-GB"/>
        </w:rPr>
        <w:t xml:space="preserve"> at the individual level</w:t>
      </w:r>
      <w:r w:rsidRPr="007A5C5F">
        <w:rPr>
          <w:sz w:val="22"/>
          <w:szCs w:val="22"/>
          <w:lang w:val="en-GB"/>
        </w:rPr>
        <w:t xml:space="preserve">. Beneficiaries reported that the support allowed them to maintain their children at home, ensure school attendance, and avoid placing them in traditional children's homes. While this action aligns with the broader objectives of </w:t>
      </w:r>
      <w:r w:rsidR="00D82080" w:rsidRPr="00C900FD">
        <w:rPr>
          <w:sz w:val="22"/>
          <w:szCs w:val="22"/>
          <w:lang w:val="en-GB"/>
        </w:rPr>
        <w:t>reduc</w:t>
      </w:r>
      <w:r w:rsidR="00D82080">
        <w:rPr>
          <w:sz w:val="22"/>
          <w:szCs w:val="22"/>
          <w:lang w:val="en-GB"/>
        </w:rPr>
        <w:t>ing</w:t>
      </w:r>
      <w:r w:rsidR="00D82080" w:rsidRPr="00C900FD">
        <w:rPr>
          <w:sz w:val="22"/>
          <w:szCs w:val="22"/>
          <w:lang w:val="en-GB"/>
        </w:rPr>
        <w:t xml:space="preserve"> unnecessary family separation</w:t>
      </w:r>
      <w:r w:rsidR="00D82080">
        <w:rPr>
          <w:sz w:val="22"/>
          <w:szCs w:val="22"/>
          <w:lang w:val="en-GB"/>
        </w:rPr>
        <w:t xml:space="preserve">, </w:t>
      </w:r>
      <w:r w:rsidR="00D82080" w:rsidRPr="00C900FD">
        <w:rPr>
          <w:sz w:val="22"/>
          <w:szCs w:val="22"/>
          <w:lang w:val="en-GB"/>
        </w:rPr>
        <w:t>institutionalization of child victims and those at risk</w:t>
      </w:r>
      <w:r w:rsidR="00D82080" w:rsidRPr="007A5C5F">
        <w:rPr>
          <w:sz w:val="22"/>
          <w:szCs w:val="22"/>
          <w:lang w:val="en-GB"/>
        </w:rPr>
        <w:t xml:space="preserve"> </w:t>
      </w:r>
      <w:r w:rsidRPr="007A5C5F">
        <w:rPr>
          <w:sz w:val="22"/>
          <w:szCs w:val="22"/>
          <w:lang w:val="en-GB"/>
        </w:rPr>
        <w:t>and enhancing their overall well-being, it is not adequately documented or emphasized in the Gender Action Plan. This oversight highlights a gap in capturing and showcasing the project's holistic impacts, which extend beyond direct justice system interventions. Including such initiatives in the plan would provide a more comprehensive account of the project's contributions to gender equity and child welfare.</w:t>
      </w:r>
      <w:r w:rsidR="00F73416" w:rsidRPr="00C900FD">
        <w:rPr>
          <w:sz w:val="22"/>
          <w:szCs w:val="22"/>
          <w:lang w:val="en-GB"/>
        </w:rPr>
        <w:t xml:space="preserve"> Moreover, such impacts should be continuously and systematically documented in the context of GAP implementation.</w:t>
      </w:r>
    </w:p>
    <w:p w14:paraId="51012DFB" w14:textId="2291FF10" w:rsidR="00EB4AC9" w:rsidRPr="007A5C5F" w:rsidRDefault="00EB4AC9" w:rsidP="00AD0F94">
      <w:pPr>
        <w:pStyle w:val="NormalWeb"/>
        <w:numPr>
          <w:ilvl w:val="0"/>
          <w:numId w:val="49"/>
        </w:numPr>
        <w:shd w:val="clear" w:color="auto" w:fill="FFFFFF"/>
        <w:spacing w:before="0" w:beforeAutospacing="0" w:after="0" w:afterAutospacing="0"/>
        <w:jc w:val="both"/>
        <w:rPr>
          <w:color w:val="000000"/>
          <w:sz w:val="22"/>
          <w:szCs w:val="22"/>
          <w:lang w:val="en-GB"/>
        </w:rPr>
      </w:pPr>
      <w:r w:rsidRPr="007A5C5F">
        <w:rPr>
          <w:color w:val="000000"/>
          <w:sz w:val="22"/>
          <w:szCs w:val="22"/>
          <w:lang w:val="en-GB"/>
        </w:rPr>
        <w:t>A Gender Capacity Assessment of selected legal aid providers including nine branches of the LAC representing all provinces and the above-mentioned nine CSOs was conducted, helping to define and enhance gender mainstreaming at an organizational level.</w:t>
      </w:r>
      <w:r w:rsidR="00CB2C17" w:rsidRPr="007A5C5F">
        <w:rPr>
          <w:sz w:val="22"/>
          <w:szCs w:val="22"/>
          <w:lang w:val="en-GB"/>
        </w:rPr>
        <w:t xml:space="preserve"> </w:t>
      </w:r>
      <w:r w:rsidRPr="007A5C5F">
        <w:rPr>
          <w:color w:val="000000"/>
          <w:sz w:val="22"/>
          <w:szCs w:val="22"/>
          <w:lang w:val="en-GB"/>
        </w:rPr>
        <w:t xml:space="preserve">The findings of these studies will be incorporated </w:t>
      </w:r>
      <w:r w:rsidR="00597CD7">
        <w:rPr>
          <w:color w:val="000000"/>
          <w:sz w:val="22"/>
          <w:szCs w:val="22"/>
          <w:lang w:val="en-GB"/>
        </w:rPr>
        <w:t>into</w:t>
      </w:r>
      <w:r w:rsidRPr="007A5C5F">
        <w:rPr>
          <w:color w:val="000000"/>
          <w:sz w:val="22"/>
          <w:szCs w:val="22"/>
          <w:lang w:val="en-GB"/>
        </w:rPr>
        <w:t xml:space="preserve"> the National Policy and Strategic Action Plan on Legal Aid which is being reviewed by the MOJ. </w:t>
      </w:r>
    </w:p>
    <w:p w14:paraId="0DA7336C" w14:textId="77777777" w:rsidR="00CB2C17" w:rsidRPr="00CB2C17" w:rsidRDefault="00CB2C17" w:rsidP="00AD0F94">
      <w:pPr>
        <w:pStyle w:val="NormalWeb"/>
        <w:numPr>
          <w:ilvl w:val="0"/>
          <w:numId w:val="49"/>
        </w:numPr>
        <w:shd w:val="clear" w:color="auto" w:fill="FFFFFF"/>
        <w:spacing w:before="0" w:beforeAutospacing="0" w:after="0" w:afterAutospacing="0"/>
        <w:jc w:val="both"/>
        <w:rPr>
          <w:sz w:val="22"/>
          <w:szCs w:val="22"/>
          <w:lang w:val="en-GB"/>
        </w:rPr>
      </w:pPr>
      <w:r w:rsidRPr="00CB2C17">
        <w:rPr>
          <w:sz w:val="22"/>
          <w:szCs w:val="22"/>
          <w:lang w:val="en-GB"/>
        </w:rPr>
        <w:t>Deeply ingrained cultural norms, institutional biases, and structural barriers continue to hinder women's participation, advancement, and equitable treatment within the law enforcement sector. These challenges are further exacerbated by limited awareness of gender-sensitive practices and the absence of robust institutional mechanisms to address gender disparities effectively.</w:t>
      </w:r>
    </w:p>
    <w:p w14:paraId="7FC1320D" w14:textId="332E6754" w:rsidR="00CB2C17" w:rsidRPr="007A5C5F" w:rsidRDefault="00CB2C17" w:rsidP="00AD0F94">
      <w:pPr>
        <w:pStyle w:val="NormalWeb"/>
        <w:numPr>
          <w:ilvl w:val="0"/>
          <w:numId w:val="49"/>
        </w:numPr>
        <w:shd w:val="clear" w:color="auto" w:fill="FFFFFF"/>
        <w:spacing w:before="0" w:beforeAutospacing="0" w:after="0" w:afterAutospacing="0"/>
        <w:jc w:val="both"/>
        <w:rPr>
          <w:sz w:val="22"/>
          <w:szCs w:val="22"/>
          <w:lang w:val="en-GB"/>
        </w:rPr>
      </w:pPr>
      <w:r w:rsidRPr="00CB2C17">
        <w:rPr>
          <w:sz w:val="22"/>
          <w:szCs w:val="22"/>
          <w:lang w:val="en-GB"/>
        </w:rPr>
        <w:t>For instance, a capacity-building initiative aimed at enhancing the rehabilitative approach to incarceration and promoting human rights standards reached 54 prison officers, yet only 8 of the participants were women. This example highlights the underrepresentation of women in such initiatives and underscores the need for targeted strategies to ensure more inclusive participation and to address systemic gender imbalances within the sector.</w:t>
      </w:r>
    </w:p>
    <w:p w14:paraId="04F362E6" w14:textId="73216A8E" w:rsidR="00CB2C17" w:rsidRPr="007A5C5F" w:rsidRDefault="00CB2C17" w:rsidP="00AD0F94">
      <w:pPr>
        <w:pStyle w:val="FootnoteText"/>
        <w:numPr>
          <w:ilvl w:val="0"/>
          <w:numId w:val="49"/>
        </w:numPr>
        <w:jc w:val="both"/>
        <w:rPr>
          <w:b/>
          <w:bCs/>
          <w:color w:val="000000" w:themeColor="text1"/>
          <w:sz w:val="22"/>
          <w:szCs w:val="22"/>
          <w:lang w:val="en-GB"/>
        </w:rPr>
      </w:pPr>
      <w:r w:rsidRPr="007A5C5F">
        <w:rPr>
          <w:b/>
          <w:bCs/>
          <w:color w:val="000000" w:themeColor="text1"/>
          <w:sz w:val="22"/>
          <w:szCs w:val="22"/>
          <w:lang w:val="en-GB"/>
        </w:rPr>
        <w:t>Finding</w:t>
      </w:r>
      <w:r w:rsidR="009E2B5C" w:rsidRPr="007A5C5F">
        <w:rPr>
          <w:b/>
          <w:bCs/>
          <w:color w:val="000000" w:themeColor="text1"/>
          <w:sz w:val="22"/>
          <w:szCs w:val="22"/>
          <w:lang w:val="en-GB"/>
        </w:rPr>
        <w:t xml:space="preserve"> 1</w:t>
      </w:r>
      <w:r w:rsidR="00355BD2" w:rsidRPr="007A5C5F">
        <w:rPr>
          <w:b/>
          <w:bCs/>
          <w:color w:val="000000" w:themeColor="text1"/>
          <w:sz w:val="22"/>
          <w:szCs w:val="22"/>
          <w:lang w:val="en-GB"/>
        </w:rPr>
        <w:t>6</w:t>
      </w:r>
      <w:r w:rsidRPr="007A5C5F">
        <w:rPr>
          <w:b/>
          <w:bCs/>
          <w:color w:val="000000" w:themeColor="text1"/>
          <w:sz w:val="22"/>
          <w:szCs w:val="22"/>
          <w:lang w:val="en-GB"/>
        </w:rPr>
        <w:t xml:space="preserve">. </w:t>
      </w:r>
      <w:r w:rsidR="00307C4C" w:rsidRPr="007A5C5F">
        <w:rPr>
          <w:b/>
          <w:bCs/>
          <w:color w:val="000000" w:themeColor="text1"/>
          <w:sz w:val="22"/>
          <w:szCs w:val="22"/>
          <w:lang w:val="en-GB"/>
        </w:rPr>
        <w:t>The evaluation finds that while numerous results are reported, many potential achievements remain unmeasured</w:t>
      </w:r>
      <w:r w:rsidRPr="007A5C5F">
        <w:rPr>
          <w:b/>
          <w:bCs/>
          <w:color w:val="000000" w:themeColor="text1"/>
          <w:sz w:val="22"/>
          <w:szCs w:val="22"/>
          <w:lang w:val="en-GB"/>
        </w:rPr>
        <w:t>/underreported</w:t>
      </w:r>
      <w:r w:rsidR="00307C4C" w:rsidRPr="007A5C5F">
        <w:rPr>
          <w:b/>
          <w:bCs/>
          <w:color w:val="000000" w:themeColor="text1"/>
          <w:sz w:val="22"/>
          <w:szCs w:val="22"/>
          <w:lang w:val="en-GB"/>
        </w:rPr>
        <w:t xml:space="preserve"> due to the lack of gender-responsive</w:t>
      </w:r>
      <w:r w:rsidRPr="007A5C5F">
        <w:rPr>
          <w:b/>
          <w:bCs/>
          <w:color w:val="000000" w:themeColor="text1"/>
          <w:sz w:val="22"/>
          <w:szCs w:val="22"/>
          <w:lang w:val="en-GB"/>
        </w:rPr>
        <w:t>, people-</w:t>
      </w:r>
      <w:r w:rsidR="007A5C5F" w:rsidRPr="007A5C5F">
        <w:rPr>
          <w:b/>
          <w:bCs/>
          <w:color w:val="000000" w:themeColor="text1"/>
          <w:sz w:val="22"/>
          <w:szCs w:val="22"/>
          <w:lang w:val="en-GB"/>
        </w:rPr>
        <w:t>centred</w:t>
      </w:r>
      <w:r w:rsidRPr="007A5C5F">
        <w:rPr>
          <w:b/>
          <w:bCs/>
          <w:color w:val="000000" w:themeColor="text1"/>
          <w:sz w:val="22"/>
          <w:szCs w:val="22"/>
          <w:lang w:val="en-GB"/>
        </w:rPr>
        <w:t xml:space="preserve"> </w:t>
      </w:r>
      <w:r w:rsidR="00307C4C" w:rsidRPr="007A5C5F">
        <w:rPr>
          <w:b/>
          <w:bCs/>
          <w:color w:val="000000" w:themeColor="text1"/>
          <w:sz w:val="22"/>
          <w:szCs w:val="22"/>
          <w:lang w:val="en-GB"/>
        </w:rPr>
        <w:t xml:space="preserve">indicators. </w:t>
      </w:r>
    </w:p>
    <w:p w14:paraId="2CBA4D17" w14:textId="11A35C12" w:rsidR="00CB2C17" w:rsidRPr="007A5C5F" w:rsidRDefault="00307C4C" w:rsidP="00AD0F94">
      <w:pPr>
        <w:pStyle w:val="FootnoteText"/>
        <w:numPr>
          <w:ilvl w:val="0"/>
          <w:numId w:val="49"/>
        </w:numPr>
        <w:jc w:val="both"/>
        <w:rPr>
          <w:color w:val="000000" w:themeColor="text1"/>
          <w:sz w:val="22"/>
          <w:szCs w:val="22"/>
          <w:lang w:val="en-GB"/>
        </w:rPr>
      </w:pPr>
      <w:r w:rsidRPr="007A5C5F">
        <w:rPr>
          <w:color w:val="000000" w:themeColor="text1"/>
          <w:sz w:val="22"/>
          <w:szCs w:val="22"/>
          <w:lang w:val="en-GB"/>
        </w:rPr>
        <w:t xml:space="preserve">The Gender Action Plan (GAP) includes a broad set of indicators; however, their reporting is inconsistent and not aligned with measurable outcomes. </w:t>
      </w:r>
      <w:r w:rsidR="00CB2C17" w:rsidRPr="007A5C5F">
        <w:rPr>
          <w:color w:val="000000" w:themeColor="text1"/>
          <w:sz w:val="22"/>
          <w:szCs w:val="22"/>
          <w:lang w:val="en-GB"/>
        </w:rPr>
        <w:t>For example, while data is available on the number of GBV survivors accessing legal aid, the current monitoring framework does not adequately track critical outcomes, such as the restoration of women’s rights to property and inheritance. A review of the quarterly reports highlights that disaggregation of indicators remains simplified, primarily categorized by the number of men and women.</w:t>
      </w:r>
      <w:r w:rsidR="00CC4596" w:rsidRPr="007A5C5F">
        <w:rPr>
          <w:color w:val="000000" w:themeColor="text1"/>
          <w:sz w:val="22"/>
          <w:szCs w:val="22"/>
          <w:lang w:val="en-GB"/>
        </w:rPr>
        <w:t xml:space="preserve"> </w:t>
      </w:r>
      <w:r w:rsidR="00CB2C17" w:rsidRPr="00CB2C17">
        <w:rPr>
          <w:color w:val="000000" w:themeColor="text1"/>
          <w:sz w:val="22"/>
          <w:szCs w:val="22"/>
          <w:lang w:val="en-GB"/>
        </w:rPr>
        <w:t>For instance, JURE reports the following achievements:</w:t>
      </w:r>
    </w:p>
    <w:p w14:paraId="0B943F7F" w14:textId="77777777" w:rsidR="00AD0F94" w:rsidRPr="00CB2C17" w:rsidRDefault="00AD0F94" w:rsidP="00AD0F94">
      <w:pPr>
        <w:pStyle w:val="FootnoteText"/>
        <w:ind w:left="502"/>
        <w:jc w:val="both"/>
        <w:rPr>
          <w:color w:val="000000" w:themeColor="text1"/>
          <w:sz w:val="22"/>
          <w:szCs w:val="22"/>
          <w:lang w:val="en-GB"/>
        </w:rPr>
      </w:pPr>
    </w:p>
    <w:p w14:paraId="022C3012" w14:textId="77777777" w:rsidR="00CB2C17" w:rsidRPr="00CB2C17" w:rsidRDefault="00CB2C17" w:rsidP="00CC4596">
      <w:pPr>
        <w:pStyle w:val="FootnoteText"/>
        <w:numPr>
          <w:ilvl w:val="0"/>
          <w:numId w:val="142"/>
        </w:numPr>
        <w:jc w:val="both"/>
        <w:rPr>
          <w:i/>
          <w:iCs/>
          <w:color w:val="000000" w:themeColor="text1"/>
          <w:sz w:val="22"/>
          <w:szCs w:val="22"/>
          <w:lang w:val="en-GB"/>
        </w:rPr>
      </w:pPr>
      <w:r w:rsidRPr="00CB2C17">
        <w:rPr>
          <w:i/>
          <w:iCs/>
          <w:color w:val="000000" w:themeColor="text1"/>
          <w:sz w:val="22"/>
          <w:szCs w:val="22"/>
          <w:lang w:val="en-GB"/>
        </w:rPr>
        <w:t>4,674 clients (2,294 women and 2,380 men) directly benefited from free legal advice during district-based consultations and legal aid camps supported by the JURE project under the CSHR by the end of the reporting period.</w:t>
      </w:r>
    </w:p>
    <w:p w14:paraId="743CC54E" w14:textId="77777777" w:rsidR="00CB2C17" w:rsidRPr="00CB2C17" w:rsidRDefault="00CB2C17" w:rsidP="00CC4596">
      <w:pPr>
        <w:pStyle w:val="FootnoteText"/>
        <w:numPr>
          <w:ilvl w:val="0"/>
          <w:numId w:val="142"/>
        </w:numPr>
        <w:jc w:val="both"/>
        <w:rPr>
          <w:i/>
          <w:iCs/>
          <w:color w:val="000000" w:themeColor="text1"/>
          <w:sz w:val="22"/>
          <w:szCs w:val="22"/>
          <w:lang w:val="en-GB"/>
        </w:rPr>
      </w:pPr>
      <w:r w:rsidRPr="00CB2C17">
        <w:rPr>
          <w:i/>
          <w:iCs/>
          <w:color w:val="000000" w:themeColor="text1"/>
          <w:sz w:val="22"/>
          <w:szCs w:val="22"/>
          <w:lang w:val="en-GB"/>
        </w:rPr>
        <w:t>308 law students (211 women and 97 men) gained experience in clinical legal education by participating in these efforts, supported by 95 lawyers and 11 justice sector officials who contributed on a pro bono basis.</w:t>
      </w:r>
    </w:p>
    <w:p w14:paraId="7A3B3D87" w14:textId="1CCACF60" w:rsidR="00CB2C17" w:rsidRPr="007A5C5F" w:rsidRDefault="00CB2C17" w:rsidP="00AD0F94">
      <w:pPr>
        <w:pStyle w:val="FootnoteText"/>
        <w:numPr>
          <w:ilvl w:val="0"/>
          <w:numId w:val="49"/>
        </w:numPr>
        <w:jc w:val="both"/>
        <w:rPr>
          <w:color w:val="000000" w:themeColor="text1"/>
          <w:sz w:val="22"/>
          <w:szCs w:val="22"/>
          <w:lang w:val="en-GB"/>
        </w:rPr>
      </w:pPr>
      <w:r w:rsidRPr="00CB2C17">
        <w:rPr>
          <w:color w:val="000000" w:themeColor="text1"/>
          <w:sz w:val="22"/>
          <w:szCs w:val="22"/>
          <w:lang w:val="en-GB"/>
        </w:rPr>
        <w:t>However, these data could be further disaggregated to include the types of cases for which beneficiaries received legal aid. Additionally, collecting data on the amount of compensation awarded and the specific rights restored—such as property or inheritance rights—would provide deeper insights into the tangible outcomes of JURE's efforts and enhance the understanding of its overall impact.</w:t>
      </w:r>
    </w:p>
    <w:p w14:paraId="7DD7BD38" w14:textId="26A541C4" w:rsidR="00EB4AC9" w:rsidRPr="007A5C5F" w:rsidRDefault="00307C4C" w:rsidP="00AD0F94">
      <w:pPr>
        <w:pStyle w:val="ListParagraph"/>
        <w:numPr>
          <w:ilvl w:val="0"/>
          <w:numId w:val="49"/>
        </w:numPr>
        <w:jc w:val="both"/>
        <w:rPr>
          <w:color w:val="000000" w:themeColor="text1"/>
          <w:sz w:val="22"/>
          <w:szCs w:val="22"/>
          <w:lang w:val="en-GB"/>
        </w:rPr>
      </w:pPr>
      <w:r w:rsidRPr="007A5C5F">
        <w:rPr>
          <w:color w:val="000000" w:themeColor="text1"/>
          <w:sz w:val="22"/>
          <w:szCs w:val="22"/>
          <w:lang w:val="en-GB"/>
        </w:rPr>
        <w:t>Similarly, JURE's efforts to enhance women’s participation in the justice system could achieve greater gender equality impact if guided by a comprehensive framework with clearly defined baselines, targets, and progress indicators. Partners such as BASL, LAC, and Women in Need could play a pivotal role in collecting such data, enabling JURE to generate gender-responsive results. This would not only enhance reporting but also support evidence-based policymaking on critical outcomes, ensuring alignment with the GAP’s objectives and maximizing the program's transformative potential.</w:t>
      </w:r>
    </w:p>
    <w:p w14:paraId="01D55941" w14:textId="518C9409" w:rsidR="00CC4596" w:rsidRPr="007A5C5F" w:rsidRDefault="00CC4596" w:rsidP="00AD0F94">
      <w:pPr>
        <w:pStyle w:val="ListParagraph"/>
        <w:numPr>
          <w:ilvl w:val="0"/>
          <w:numId w:val="49"/>
        </w:numPr>
        <w:jc w:val="both"/>
        <w:rPr>
          <w:color w:val="000000" w:themeColor="text1"/>
          <w:sz w:val="22"/>
          <w:szCs w:val="22"/>
          <w:lang w:val="en-GB"/>
        </w:rPr>
      </w:pPr>
      <w:r w:rsidRPr="007A5C5F">
        <w:rPr>
          <w:b/>
          <w:bCs/>
          <w:color w:val="000000" w:themeColor="text1"/>
          <w:sz w:val="22"/>
          <w:szCs w:val="22"/>
          <w:lang w:val="en-GB"/>
        </w:rPr>
        <w:t>Finding</w:t>
      </w:r>
      <w:r w:rsidR="009E2B5C" w:rsidRPr="007A5C5F">
        <w:rPr>
          <w:b/>
          <w:bCs/>
          <w:color w:val="000000" w:themeColor="text1"/>
          <w:sz w:val="22"/>
          <w:szCs w:val="22"/>
          <w:lang w:val="en-GB"/>
        </w:rPr>
        <w:t xml:space="preserve"> 1</w:t>
      </w:r>
      <w:r w:rsidR="00355BD2" w:rsidRPr="007A5C5F">
        <w:rPr>
          <w:b/>
          <w:bCs/>
          <w:color w:val="000000" w:themeColor="text1"/>
          <w:sz w:val="22"/>
          <w:szCs w:val="22"/>
          <w:lang w:val="en-GB"/>
        </w:rPr>
        <w:t>7</w:t>
      </w:r>
      <w:r w:rsidRPr="007A5C5F">
        <w:rPr>
          <w:b/>
          <w:bCs/>
          <w:color w:val="000000" w:themeColor="text1"/>
          <w:sz w:val="22"/>
          <w:szCs w:val="22"/>
          <w:lang w:val="en-GB"/>
        </w:rPr>
        <w:t>. There are significant opportunities to improve the collection of data on persons with disabilities, yet these opportunities are not being systematically leveraged.</w:t>
      </w:r>
      <w:r w:rsidRPr="007A5C5F">
        <w:rPr>
          <w:color w:val="000000" w:themeColor="text1"/>
          <w:sz w:val="22"/>
          <w:szCs w:val="22"/>
          <w:lang w:val="en-GB"/>
        </w:rPr>
        <w:t xml:space="preserve"> </w:t>
      </w:r>
      <w:r w:rsidRPr="007A5C5F">
        <w:rPr>
          <w:b/>
          <w:bCs/>
          <w:color w:val="000000" w:themeColor="text1"/>
          <w:sz w:val="22"/>
          <w:szCs w:val="22"/>
          <w:lang w:val="en-GB"/>
        </w:rPr>
        <w:t xml:space="preserve">This underscores the </w:t>
      </w:r>
      <w:r w:rsidRPr="007A5C5F">
        <w:rPr>
          <w:b/>
          <w:bCs/>
          <w:color w:val="000000" w:themeColor="text1"/>
          <w:sz w:val="22"/>
          <w:szCs w:val="22"/>
          <w:lang w:val="en-GB"/>
        </w:rPr>
        <w:lastRenderedPageBreak/>
        <w:t xml:space="preserve">persistent need to strengthen JURE’s monitoring system, as well as the data collection and reporting mechanisms of national partners. </w:t>
      </w:r>
    </w:p>
    <w:p w14:paraId="5707475F" w14:textId="77777777" w:rsidR="00CC4596" w:rsidRPr="007A5C5F" w:rsidRDefault="00CC4596" w:rsidP="00AD0F94">
      <w:pPr>
        <w:pStyle w:val="ListParagraph"/>
        <w:numPr>
          <w:ilvl w:val="0"/>
          <w:numId w:val="49"/>
        </w:numPr>
        <w:jc w:val="both"/>
        <w:rPr>
          <w:color w:val="000000" w:themeColor="text1"/>
          <w:sz w:val="22"/>
          <w:szCs w:val="22"/>
          <w:lang w:val="en-GB"/>
        </w:rPr>
      </w:pPr>
      <w:r w:rsidRPr="007A5C5F">
        <w:rPr>
          <w:color w:val="000000" w:themeColor="text1"/>
          <w:sz w:val="22"/>
          <w:szCs w:val="22"/>
          <w:lang w:val="en-GB"/>
        </w:rPr>
        <w:t xml:space="preserve">UNDP’s support to the Human Rights Commission (HRC) in ensuring equal access to employment for persons with disabilities, in line with the UN Convention on the Rights of Persons with Disabilities, reflects notable progress. The HRC’s work on revising Public Administration Circular No. 27/28 of 1988, which establishes a 3% employment quota for persons with disabilities, and drafting updated guidelines to align with the Convention, are important steps forward. Additionally, the HRC’s submission of observations to the Ministry of Justice on the Draft Bill on Protection of the Rights of Persons with Disabilities demonstrates a commitment to meaningful reform. </w:t>
      </w:r>
    </w:p>
    <w:p w14:paraId="2786FA42" w14:textId="015AA491" w:rsidR="00CC4596" w:rsidRPr="00D24919" w:rsidRDefault="00CB590A" w:rsidP="00CB590A">
      <w:pPr>
        <w:pStyle w:val="ListParagraph"/>
        <w:numPr>
          <w:ilvl w:val="0"/>
          <w:numId w:val="49"/>
        </w:numPr>
        <w:jc w:val="both"/>
        <w:rPr>
          <w:color w:val="000000" w:themeColor="text1"/>
          <w:sz w:val="22"/>
          <w:szCs w:val="22"/>
          <w:lang w:val="en-GB"/>
        </w:rPr>
      </w:pPr>
      <w:r w:rsidRPr="00CB590A">
        <w:rPr>
          <w:color w:val="000000" w:themeColor="text1"/>
          <w:sz w:val="22"/>
          <w:szCs w:val="22"/>
          <w:lang w:val="en-GB"/>
        </w:rPr>
        <w:t>There are several ways to collect data on Persons with Disabilities (PwD) while respecting privacy and avoiding harm, especially given the stigma in Sri Lanka. Instead of direct identification, data can be gathered through legal aid records, complaints resolved by the Human Rights Commission, and services provided by NGOs or social protection programs</w:t>
      </w:r>
      <w:r>
        <w:rPr>
          <w:color w:val="000000" w:themeColor="text1"/>
          <w:sz w:val="22"/>
          <w:szCs w:val="22"/>
          <w:lang w:val="en-GB"/>
        </w:rPr>
        <w:t xml:space="preserve">. </w:t>
      </w:r>
      <w:r w:rsidRPr="00D24919">
        <w:rPr>
          <w:color w:val="000000" w:themeColor="text1"/>
          <w:sz w:val="22"/>
          <w:szCs w:val="22"/>
          <w:lang w:val="en-GB"/>
        </w:rPr>
        <w:t xml:space="preserve">To ensure sensitivity, anonymous reporting, voluntary disclosure, and engagement with Disabled Persons’ Organizations (DPOs) can be used. The evaluation team can also collect qualitative insights through discussions with community advocates and service providers, ensuring a safe and respectful </w:t>
      </w:r>
      <w:r w:rsidRPr="00CB590A">
        <w:rPr>
          <w:color w:val="000000" w:themeColor="text1"/>
          <w:sz w:val="22"/>
          <w:szCs w:val="22"/>
          <w:lang w:val="en-GB"/>
        </w:rPr>
        <w:t>approach. A</w:t>
      </w:r>
      <w:r w:rsidR="00CC4596" w:rsidRPr="00D24919">
        <w:rPr>
          <w:color w:val="000000" w:themeColor="text1"/>
          <w:sz w:val="22"/>
          <w:szCs w:val="22"/>
          <w:lang w:val="en-GB"/>
        </w:rPr>
        <w:t xml:space="preserve"> similar approach to disaggregating data by vulnerabilities could be effectively applied to the BASL and LAC.</w:t>
      </w:r>
      <w:r w:rsidR="009E2B5C" w:rsidRPr="00D24919">
        <w:rPr>
          <w:color w:val="000000" w:themeColor="text1"/>
          <w:sz w:val="22"/>
          <w:szCs w:val="22"/>
          <w:lang w:val="en-GB"/>
        </w:rPr>
        <w:t xml:space="preserve"> </w:t>
      </w:r>
      <w:r w:rsidR="00CC4596" w:rsidRPr="00D24919">
        <w:rPr>
          <w:color w:val="000000" w:themeColor="text1"/>
          <w:sz w:val="22"/>
          <w:szCs w:val="22"/>
          <w:lang w:val="en-GB"/>
        </w:rPr>
        <w:t xml:space="preserve">However, the </w:t>
      </w:r>
      <w:r w:rsidR="00CC4596" w:rsidRPr="00D24919">
        <w:rPr>
          <w:b/>
          <w:bCs/>
          <w:color w:val="000000" w:themeColor="text1"/>
          <w:sz w:val="22"/>
          <w:szCs w:val="22"/>
          <w:lang w:val="en-GB"/>
        </w:rPr>
        <w:t xml:space="preserve">lack of a systematic framework for collecting and </w:t>
      </w:r>
      <w:r w:rsidR="007A5C5F" w:rsidRPr="00D24919">
        <w:rPr>
          <w:b/>
          <w:bCs/>
          <w:color w:val="000000" w:themeColor="text1"/>
          <w:sz w:val="22"/>
          <w:szCs w:val="22"/>
          <w:lang w:val="en-GB"/>
        </w:rPr>
        <w:t>analysing</w:t>
      </w:r>
      <w:r w:rsidR="00CC4596" w:rsidRPr="00D24919">
        <w:rPr>
          <w:b/>
          <w:bCs/>
          <w:color w:val="000000" w:themeColor="text1"/>
          <w:sz w:val="22"/>
          <w:szCs w:val="22"/>
          <w:lang w:val="en-GB"/>
        </w:rPr>
        <w:t xml:space="preserve"> data on these efforts limits the ability to evaluate their impact effectively.</w:t>
      </w:r>
      <w:r w:rsidR="00CC4596" w:rsidRPr="00D24919">
        <w:rPr>
          <w:color w:val="000000" w:themeColor="text1"/>
          <w:sz w:val="22"/>
          <w:szCs w:val="22"/>
          <w:lang w:val="en-GB"/>
        </w:rPr>
        <w:t xml:space="preserve"> Addressing these gaps through a </w:t>
      </w:r>
      <w:r w:rsidR="00CC4596" w:rsidRPr="00D24919">
        <w:rPr>
          <w:b/>
          <w:bCs/>
          <w:color w:val="000000" w:themeColor="text1"/>
          <w:sz w:val="22"/>
          <w:szCs w:val="22"/>
          <w:lang w:val="en-GB"/>
        </w:rPr>
        <w:t>more robust monitoring and data reporting system</w:t>
      </w:r>
      <w:r w:rsidR="00CC4596" w:rsidRPr="00D24919">
        <w:rPr>
          <w:color w:val="000000" w:themeColor="text1"/>
          <w:sz w:val="22"/>
          <w:szCs w:val="22"/>
          <w:lang w:val="en-GB"/>
        </w:rPr>
        <w:t xml:space="preserve"> will be essential to ensuring sustainable progress and achieving the </w:t>
      </w:r>
      <w:r w:rsidR="00CC4596" w:rsidRPr="00D24919">
        <w:rPr>
          <w:b/>
          <w:bCs/>
          <w:color w:val="000000" w:themeColor="text1"/>
          <w:sz w:val="22"/>
          <w:szCs w:val="22"/>
          <w:lang w:val="en-GB"/>
        </w:rPr>
        <w:t>intended outcomes</w:t>
      </w:r>
      <w:r w:rsidR="00CC4596" w:rsidRPr="00D24919">
        <w:rPr>
          <w:color w:val="000000" w:themeColor="text1"/>
          <w:sz w:val="22"/>
          <w:szCs w:val="22"/>
          <w:lang w:val="en-GB"/>
        </w:rPr>
        <w:t xml:space="preserve"> of these initiatives.</w:t>
      </w:r>
      <w:r w:rsidR="00D82080" w:rsidRPr="00D82080">
        <w:t xml:space="preserve"> </w:t>
      </w:r>
      <w:r w:rsidR="00D82080" w:rsidRPr="00D24919">
        <w:rPr>
          <w:color w:val="000000" w:themeColor="text1"/>
          <w:sz w:val="22"/>
          <w:szCs w:val="22"/>
        </w:rPr>
        <w:t>There is a strong likelihood that the project, through UNICEF’s collaboration with justice and child protection stakeholders to enhance administrative data collection systems, will introduce indicators disaggregated by disability status. This represents a significant step toward systematic data analysis, which could serve as a crucial tool for more inclusive policy development and programming in justice for children.</w:t>
      </w:r>
    </w:p>
    <w:p w14:paraId="0A141084" w14:textId="77777777" w:rsidR="00EB4AC9" w:rsidRPr="007A5C5F" w:rsidRDefault="00EB4AC9" w:rsidP="001B7E90">
      <w:pPr>
        <w:jc w:val="both"/>
        <w:rPr>
          <w:sz w:val="22"/>
          <w:szCs w:val="22"/>
          <w:lang w:val="en-GB"/>
        </w:rPr>
      </w:pPr>
    </w:p>
    <w:p w14:paraId="0E627DB8" w14:textId="325262DA" w:rsidR="00A6714C" w:rsidRPr="007A5C5F" w:rsidRDefault="00A6714C" w:rsidP="00A6714C">
      <w:pPr>
        <w:pStyle w:val="Heading2"/>
        <w:rPr>
          <w:rFonts w:ascii="Times New Roman" w:hAnsi="Times New Roman" w:cs="Times New Roman"/>
          <w:lang w:val="en-GB"/>
        </w:rPr>
      </w:pPr>
      <w:bookmarkStart w:id="26" w:name="_Toc188348265"/>
      <w:r w:rsidRPr="007A5C5F">
        <w:rPr>
          <w:rFonts w:ascii="Times New Roman" w:hAnsi="Times New Roman" w:cs="Times New Roman"/>
          <w:lang w:val="en-GB"/>
        </w:rPr>
        <w:t>EU Added Value</w:t>
      </w:r>
      <w:bookmarkEnd w:id="26"/>
    </w:p>
    <w:p w14:paraId="737DB6A9" w14:textId="6F4034E0" w:rsidR="00A6714C" w:rsidRPr="006D3B28" w:rsidRDefault="00A6714C" w:rsidP="00AD0F94">
      <w:pPr>
        <w:pStyle w:val="ListParagraph"/>
        <w:numPr>
          <w:ilvl w:val="0"/>
          <w:numId w:val="25"/>
        </w:numPr>
        <w:tabs>
          <w:tab w:val="num" w:pos="1440"/>
        </w:tabs>
        <w:adjustRightInd/>
        <w:snapToGrid/>
        <w:spacing w:after="0"/>
        <w:jc w:val="both"/>
        <w:rPr>
          <w:b/>
          <w:bCs/>
          <w:i/>
          <w:iCs/>
          <w:color w:val="70AD47" w:themeColor="accent6"/>
          <w:sz w:val="22"/>
          <w:szCs w:val="22"/>
          <w:lang w:val="en-GB"/>
        </w:rPr>
      </w:pPr>
      <w:r w:rsidRPr="006D3B28">
        <w:rPr>
          <w:b/>
          <w:bCs/>
          <w:i/>
          <w:iCs/>
          <w:color w:val="70AD47" w:themeColor="accent6"/>
          <w:sz w:val="22"/>
          <w:szCs w:val="22"/>
          <w:lang w:val="en-GB"/>
        </w:rPr>
        <w:t>What specific outcomes or results has the JURE Project achieved due to EU support that would not have been possible through other donors?</w:t>
      </w:r>
    </w:p>
    <w:p w14:paraId="21BE11A1" w14:textId="77777777" w:rsidR="005961C3" w:rsidRPr="006D3B28" w:rsidRDefault="005961C3" w:rsidP="00A6714C">
      <w:pPr>
        <w:rPr>
          <w:rFonts w:eastAsia="DengXian Light"/>
          <w:b/>
          <w:bCs/>
          <w:sz w:val="22"/>
          <w:szCs w:val="22"/>
          <w:lang w:val="en-GB"/>
        </w:rPr>
      </w:pPr>
    </w:p>
    <w:tbl>
      <w:tblPr>
        <w:tblStyle w:val="IESTable"/>
        <w:tblW w:w="0" w:type="auto"/>
        <w:tblLook w:val="04A0" w:firstRow="1" w:lastRow="0" w:firstColumn="1" w:lastColumn="0" w:noHBand="0" w:noVBand="1"/>
      </w:tblPr>
      <w:tblGrid>
        <w:gridCol w:w="9580"/>
      </w:tblGrid>
      <w:tr w:rsidR="005961C3" w:rsidRPr="007A5C5F" w14:paraId="4A058135" w14:textId="77777777" w:rsidTr="005961C3">
        <w:trPr>
          <w:cnfStyle w:val="100000000000" w:firstRow="1" w:lastRow="0" w:firstColumn="0" w:lastColumn="0" w:oddVBand="0" w:evenVBand="0" w:oddHBand="0" w:evenHBand="0" w:firstRowFirstColumn="0" w:firstRowLastColumn="0" w:lastRowFirstColumn="0" w:lastRowLastColumn="0"/>
        </w:trPr>
        <w:tc>
          <w:tcPr>
            <w:tcW w:w="9580" w:type="dxa"/>
          </w:tcPr>
          <w:p w14:paraId="5CB94128" w14:textId="1266FA0A" w:rsidR="005961C3" w:rsidRPr="007A5C5F" w:rsidRDefault="005961C3" w:rsidP="005961C3">
            <w:pPr>
              <w:jc w:val="both"/>
              <w:rPr>
                <w:rFonts w:eastAsia="SimSun"/>
                <w:lang w:val="en-GB"/>
              </w:rPr>
            </w:pPr>
            <w:r w:rsidRPr="007A5C5F">
              <w:rPr>
                <w:rFonts w:eastAsia="DengXian Light"/>
                <w:b/>
                <w:bCs/>
                <w:lang w:val="en-GB"/>
              </w:rPr>
              <w:t>Rationale</w:t>
            </w:r>
            <w:r w:rsidRPr="007A5C5F">
              <w:rPr>
                <w:lang w:val="en-GB"/>
              </w:rPr>
              <w:t>: This criterion evaluates the unique value that EU support brings to the project. It examines the additional benefits derived from EU funding, including the influence of EU policies, strategies, and visibility on the project's design and implementation.</w:t>
            </w:r>
          </w:p>
        </w:tc>
      </w:tr>
    </w:tbl>
    <w:p w14:paraId="4E293658" w14:textId="77777777" w:rsidR="001F6DA6" w:rsidRPr="007A5C5F" w:rsidRDefault="001F6DA6" w:rsidP="001F6DA6">
      <w:pPr>
        <w:adjustRightInd w:val="0"/>
        <w:snapToGrid w:val="0"/>
        <w:spacing w:after="120"/>
        <w:rPr>
          <w:lang w:val="en-GB"/>
        </w:rPr>
      </w:pPr>
    </w:p>
    <w:p w14:paraId="2E92E6FF" w14:textId="79F90151" w:rsidR="00356A58" w:rsidRPr="007A5C5F" w:rsidRDefault="009E2B5C" w:rsidP="00AD0F94">
      <w:pPr>
        <w:pStyle w:val="ListParagraph"/>
        <w:numPr>
          <w:ilvl w:val="0"/>
          <w:numId w:val="49"/>
        </w:numPr>
        <w:jc w:val="both"/>
        <w:rPr>
          <w:b/>
          <w:bCs/>
          <w:sz w:val="22"/>
          <w:szCs w:val="22"/>
          <w:lang w:val="en-GB"/>
        </w:rPr>
      </w:pPr>
      <w:r w:rsidRPr="007A5C5F">
        <w:rPr>
          <w:b/>
          <w:bCs/>
          <w:sz w:val="22"/>
          <w:szCs w:val="22"/>
          <w:lang w:val="en-GB"/>
        </w:rPr>
        <w:t>Finding 1</w:t>
      </w:r>
      <w:r w:rsidR="00355BD2" w:rsidRPr="007A5C5F">
        <w:rPr>
          <w:b/>
          <w:bCs/>
          <w:sz w:val="22"/>
          <w:szCs w:val="22"/>
          <w:lang w:val="en-GB"/>
        </w:rPr>
        <w:t>8</w:t>
      </w:r>
      <w:r w:rsidRPr="007A5C5F">
        <w:rPr>
          <w:b/>
          <w:bCs/>
          <w:sz w:val="22"/>
          <w:szCs w:val="22"/>
          <w:lang w:val="en-GB"/>
        </w:rPr>
        <w:t xml:space="preserve">. </w:t>
      </w:r>
      <w:r w:rsidR="00356A58" w:rsidRPr="007A5C5F">
        <w:rPr>
          <w:b/>
          <w:bCs/>
          <w:sz w:val="22"/>
          <w:szCs w:val="22"/>
          <w:lang w:val="en-GB"/>
        </w:rPr>
        <w:t>The EU’s strategic investment in JURE highlights its commitment to transformative justice reforms in Sri Lanka, demonstrating how large-scale, comprehensive, and systemic interventions can create sustainable and inclusive improvements in the justice sector.</w:t>
      </w:r>
    </w:p>
    <w:p w14:paraId="4610176B" w14:textId="296384AF" w:rsidR="00190F2C" w:rsidRPr="007A5C5F" w:rsidRDefault="00356A58" w:rsidP="00AD0F94">
      <w:pPr>
        <w:pStyle w:val="ListParagraph"/>
        <w:numPr>
          <w:ilvl w:val="0"/>
          <w:numId w:val="49"/>
        </w:numPr>
        <w:jc w:val="both"/>
        <w:rPr>
          <w:sz w:val="22"/>
          <w:szCs w:val="22"/>
          <w:lang w:val="en-GB"/>
        </w:rPr>
      </w:pPr>
      <w:r w:rsidRPr="007A5C5F">
        <w:rPr>
          <w:sz w:val="22"/>
          <w:szCs w:val="22"/>
          <w:lang w:val="en-GB"/>
        </w:rPr>
        <w:t>The EU’s holistic approach to justice sector reform, coupled with its focus on gender equality and human rights, enabled the JURE Project to achieve results that align with international best practices and address systemic barriers in child protection comprehensively. Such outcomes, requiring sustained investment and alignment with global frameworks, would have been difficult to achieve through other donors with less targeted mandates.</w:t>
      </w:r>
    </w:p>
    <w:p w14:paraId="7D46D709" w14:textId="47E46F3E" w:rsidR="00356A58" w:rsidRPr="007A5C5F" w:rsidRDefault="007A5C5F" w:rsidP="00AD0F94">
      <w:pPr>
        <w:pStyle w:val="ListParagraph"/>
        <w:numPr>
          <w:ilvl w:val="0"/>
          <w:numId w:val="49"/>
        </w:numPr>
        <w:jc w:val="both"/>
        <w:rPr>
          <w:sz w:val="22"/>
          <w:szCs w:val="22"/>
          <w:lang w:val="en-GB"/>
        </w:rPr>
      </w:pPr>
      <w:r w:rsidRPr="007A5C5F">
        <w:rPr>
          <w:sz w:val="22"/>
          <w:szCs w:val="22"/>
          <w:lang w:val="en-GB"/>
        </w:rPr>
        <w:t>the</w:t>
      </w:r>
      <w:r w:rsidR="00356A58" w:rsidRPr="007A5C5F">
        <w:rPr>
          <w:sz w:val="22"/>
          <w:szCs w:val="22"/>
          <w:lang w:val="en-GB"/>
        </w:rPr>
        <w:t xml:space="preserve"> JURE project exemplifies the distinctive value of EU-funded initiatives in driving systemic and sustainable justice sector reforms in Sri Lanka. As the largest EU-funded project in the country, JURE has leveraged the EU’s strategic focus, financial commitment, and comprehensive approach to address critical challenges in the justice system.</w:t>
      </w:r>
    </w:p>
    <w:p w14:paraId="21B46B55" w14:textId="6DFB63E7" w:rsidR="00356A58" w:rsidRPr="007A5C5F" w:rsidRDefault="00356A58" w:rsidP="00AD0F94">
      <w:pPr>
        <w:pStyle w:val="ListParagraph"/>
        <w:numPr>
          <w:ilvl w:val="0"/>
          <w:numId w:val="49"/>
        </w:numPr>
        <w:jc w:val="both"/>
        <w:rPr>
          <w:sz w:val="22"/>
          <w:szCs w:val="22"/>
          <w:lang w:val="en-GB"/>
        </w:rPr>
      </w:pPr>
      <w:r w:rsidRPr="007A5C5F">
        <w:rPr>
          <w:sz w:val="22"/>
          <w:szCs w:val="22"/>
          <w:lang w:val="en-GB"/>
        </w:rPr>
        <w:t xml:space="preserve">One of JURE’s most significant strengths is its </w:t>
      </w:r>
      <w:r w:rsidRPr="007A5C5F">
        <w:rPr>
          <w:b/>
          <w:bCs/>
          <w:sz w:val="22"/>
          <w:szCs w:val="22"/>
          <w:lang w:val="en-GB"/>
        </w:rPr>
        <w:t>emphasis on institutional reform</w:t>
      </w:r>
      <w:r w:rsidRPr="007A5C5F">
        <w:rPr>
          <w:sz w:val="22"/>
          <w:szCs w:val="22"/>
          <w:lang w:val="en-GB"/>
        </w:rPr>
        <w:t xml:space="preserve">, focusing on modernizing justice systems, enhancing institutional frameworks, and digitalizing legal processes. These systemic changes aim to embed sustainable improvements that go beyond immediate outputs. For </w:t>
      </w:r>
      <w:r w:rsidRPr="007A5C5F">
        <w:rPr>
          <w:sz w:val="22"/>
          <w:szCs w:val="22"/>
          <w:lang w:val="en-GB"/>
        </w:rPr>
        <w:lastRenderedPageBreak/>
        <w:t>instance, the installation of digital testimony systems and the development of gender-sensitive</w:t>
      </w:r>
      <w:r w:rsidR="00D82080">
        <w:rPr>
          <w:sz w:val="22"/>
          <w:szCs w:val="22"/>
          <w:lang w:val="en-GB"/>
        </w:rPr>
        <w:t xml:space="preserve"> and child-sensitive</w:t>
      </w:r>
      <w:r w:rsidRPr="007A5C5F">
        <w:rPr>
          <w:sz w:val="22"/>
          <w:szCs w:val="22"/>
          <w:lang w:val="en-GB"/>
        </w:rPr>
        <w:t xml:space="preserve"> court facilities demonstrate the project’s commitment to lasting reforms that enhance accessibility and efficiency in justice delivery.</w:t>
      </w:r>
      <w:r w:rsidR="00175D9E">
        <w:rPr>
          <w:sz w:val="22"/>
          <w:szCs w:val="22"/>
          <w:lang w:val="en-GB"/>
        </w:rPr>
        <w:t xml:space="preserve"> </w:t>
      </w:r>
      <w:r w:rsidR="00916122" w:rsidRPr="00D24919">
        <w:rPr>
          <w:sz w:val="22"/>
          <w:szCs w:val="22"/>
        </w:rPr>
        <w:t xml:space="preserve">CIABOC reports that the </w:t>
      </w:r>
      <w:r w:rsidR="00916122" w:rsidRPr="00D24919">
        <w:rPr>
          <w:rStyle w:val="Strong"/>
          <w:sz w:val="22"/>
          <w:szCs w:val="22"/>
        </w:rPr>
        <w:t>Anti-Corruption Act 2023</w:t>
      </w:r>
      <w:r w:rsidR="00916122" w:rsidRPr="00D24919">
        <w:rPr>
          <w:sz w:val="22"/>
          <w:szCs w:val="22"/>
        </w:rPr>
        <w:t xml:space="preserve"> has led to a surge in private sector bribery reports, a trend attributed to JURE’s awareness campaigns, which spearheaded these efforts</w:t>
      </w:r>
      <w:r w:rsidR="00916122">
        <w:rPr>
          <w:rStyle w:val="FootnoteReference"/>
        </w:rPr>
        <w:footnoteReference w:id="83"/>
      </w:r>
      <w:r w:rsidR="00916122">
        <w:t>.</w:t>
      </w:r>
    </w:p>
    <w:p w14:paraId="2186677C" w14:textId="6A47E9A9" w:rsidR="00356A58" w:rsidRPr="007A5C5F" w:rsidRDefault="00356A58" w:rsidP="00AD0F94">
      <w:pPr>
        <w:pStyle w:val="ListParagraph"/>
        <w:numPr>
          <w:ilvl w:val="0"/>
          <w:numId w:val="49"/>
        </w:numPr>
        <w:jc w:val="both"/>
        <w:rPr>
          <w:sz w:val="22"/>
          <w:szCs w:val="22"/>
          <w:lang w:val="en-GB"/>
        </w:rPr>
      </w:pPr>
      <w:r w:rsidRPr="007A5C5F">
        <w:rPr>
          <w:sz w:val="22"/>
          <w:szCs w:val="22"/>
          <w:lang w:val="en-GB"/>
        </w:rPr>
        <w:t xml:space="preserve">JURE’s </w:t>
      </w:r>
      <w:r w:rsidRPr="007A5C5F">
        <w:rPr>
          <w:b/>
          <w:bCs/>
          <w:sz w:val="22"/>
          <w:szCs w:val="22"/>
          <w:lang w:val="en-GB"/>
        </w:rPr>
        <w:t>comprehensive and holistic approach</w:t>
      </w:r>
      <w:r w:rsidRPr="007A5C5F">
        <w:rPr>
          <w:sz w:val="22"/>
          <w:szCs w:val="22"/>
          <w:lang w:val="en-GB"/>
        </w:rPr>
        <w:t xml:space="preserve"> integrates multiple components, including legal aid services, judicial training, infrastructure upgrades, and policy reform. This approach ensured that initiatives, such as the paralegal network and child-friendly justice reforms, are interconnected and mutually reinforcing, driving sustainable outcomes that benefit vulnerable groups, including women, children, and persons with disabilities.</w:t>
      </w:r>
    </w:p>
    <w:p w14:paraId="3C3CBE17" w14:textId="77777777" w:rsidR="00356A58" w:rsidRPr="007A5C5F" w:rsidRDefault="00356A58" w:rsidP="00AD0F94">
      <w:pPr>
        <w:pStyle w:val="ListParagraph"/>
        <w:numPr>
          <w:ilvl w:val="0"/>
          <w:numId w:val="49"/>
        </w:numPr>
        <w:jc w:val="both"/>
        <w:rPr>
          <w:sz w:val="22"/>
          <w:szCs w:val="22"/>
          <w:lang w:val="en-GB"/>
        </w:rPr>
      </w:pPr>
      <w:r w:rsidRPr="007A5C5F">
        <w:rPr>
          <w:sz w:val="22"/>
          <w:szCs w:val="22"/>
          <w:lang w:val="en-GB"/>
        </w:rPr>
        <w:t xml:space="preserve">The project also benefits from the EU’s </w:t>
      </w:r>
      <w:r w:rsidRPr="007A5C5F">
        <w:rPr>
          <w:b/>
          <w:bCs/>
          <w:sz w:val="22"/>
          <w:szCs w:val="22"/>
          <w:lang w:val="en-GB"/>
        </w:rPr>
        <w:t>rigorous monitoring and evaluation mechanisms</w:t>
      </w:r>
      <w:r w:rsidRPr="007A5C5F">
        <w:rPr>
          <w:sz w:val="22"/>
          <w:szCs w:val="22"/>
          <w:lang w:val="en-GB"/>
        </w:rPr>
        <w:t>, which ensure accountability and evidence-based decision-making. Indicators in JURE are aligned with global frameworks, such as the Sustainable Development Goals (SDGs), enabling the project to measure progress and impact effectively. This robust monitoring system supports JURE’s ability to adapt and respond to emerging challenges while ensuring alignment with international best practices.</w:t>
      </w:r>
    </w:p>
    <w:p w14:paraId="01553B1F" w14:textId="2618493B" w:rsidR="00356A58" w:rsidRPr="007A5C5F" w:rsidRDefault="00356A58" w:rsidP="00AD0F94">
      <w:pPr>
        <w:pStyle w:val="ListParagraph"/>
        <w:numPr>
          <w:ilvl w:val="0"/>
          <w:numId w:val="49"/>
        </w:numPr>
        <w:jc w:val="both"/>
        <w:rPr>
          <w:sz w:val="22"/>
          <w:szCs w:val="22"/>
          <w:lang w:val="en-GB"/>
        </w:rPr>
      </w:pPr>
      <w:r w:rsidRPr="007A5C5F">
        <w:rPr>
          <w:sz w:val="22"/>
          <w:szCs w:val="22"/>
          <w:lang w:val="en-GB"/>
        </w:rPr>
        <w:t xml:space="preserve">Finally, as Sri Lanka’s largest EU-funded justice project, JURE has benefitted from </w:t>
      </w:r>
      <w:r w:rsidRPr="007A5C5F">
        <w:rPr>
          <w:b/>
          <w:bCs/>
          <w:sz w:val="22"/>
          <w:szCs w:val="22"/>
          <w:lang w:val="en-GB"/>
        </w:rPr>
        <w:t>substantial financial resources and long-term funding commitments</w:t>
      </w:r>
      <w:r w:rsidRPr="007A5C5F">
        <w:rPr>
          <w:sz w:val="22"/>
          <w:szCs w:val="22"/>
          <w:lang w:val="en-GB"/>
        </w:rPr>
        <w:t xml:space="preserve">. These resources have enabled the implementation of complex reforms in anti-corruption, establishment of the LLM program in Environmental Law and gender-sensitive legal aid services, which require sustained investment to ensure long-term success. The project’s financial backing also facilitates extensive capacity-building initiatives, such as training judicial officers, family </w:t>
      </w:r>
      <w:r w:rsidR="007A5C5F" w:rsidRPr="007A5C5F">
        <w:rPr>
          <w:sz w:val="22"/>
          <w:szCs w:val="22"/>
          <w:lang w:val="en-GB"/>
        </w:rPr>
        <w:t>counsellors</w:t>
      </w:r>
      <w:r w:rsidRPr="007A5C5F">
        <w:rPr>
          <w:sz w:val="22"/>
          <w:szCs w:val="22"/>
          <w:lang w:val="en-GB"/>
        </w:rPr>
        <w:t>, and women leaders, ensuring systemic and lasting impacts.</w:t>
      </w:r>
    </w:p>
    <w:p w14:paraId="00301846" w14:textId="075C840E" w:rsidR="00356A58" w:rsidRPr="007A5C5F" w:rsidRDefault="009E2B5C" w:rsidP="00AD0F94">
      <w:pPr>
        <w:pStyle w:val="ListParagraph"/>
        <w:numPr>
          <w:ilvl w:val="0"/>
          <w:numId w:val="49"/>
        </w:numPr>
        <w:jc w:val="both"/>
        <w:rPr>
          <w:b/>
          <w:bCs/>
          <w:sz w:val="22"/>
          <w:szCs w:val="22"/>
          <w:lang w:val="en-GB"/>
        </w:rPr>
      </w:pPr>
      <w:r w:rsidRPr="007A5C5F">
        <w:rPr>
          <w:b/>
          <w:bCs/>
          <w:sz w:val="22"/>
          <w:szCs w:val="22"/>
          <w:lang w:val="en-GB"/>
        </w:rPr>
        <w:t>Finding 1</w:t>
      </w:r>
      <w:r w:rsidR="00355BD2" w:rsidRPr="007A5C5F">
        <w:rPr>
          <w:b/>
          <w:bCs/>
          <w:sz w:val="22"/>
          <w:szCs w:val="22"/>
          <w:lang w:val="en-GB"/>
        </w:rPr>
        <w:t>9</w:t>
      </w:r>
      <w:r w:rsidRPr="007A5C5F">
        <w:rPr>
          <w:b/>
          <w:bCs/>
          <w:sz w:val="22"/>
          <w:szCs w:val="22"/>
          <w:lang w:val="en-GB"/>
        </w:rPr>
        <w:t>.</w:t>
      </w:r>
      <w:r w:rsidR="00356A58" w:rsidRPr="007A5C5F">
        <w:rPr>
          <w:b/>
          <w:bCs/>
          <w:sz w:val="22"/>
          <w:szCs w:val="22"/>
          <w:lang w:val="en-GB"/>
        </w:rPr>
        <w:t xml:space="preserve"> The LLM program in Environmental Law ensures JURE's sustainability by building long-term legal expertise and strengthening institutional capacity. However, reconnecting with </w:t>
      </w:r>
      <w:r w:rsidR="007A5C5F" w:rsidRPr="007A5C5F">
        <w:rPr>
          <w:b/>
          <w:bCs/>
          <w:sz w:val="22"/>
          <w:szCs w:val="22"/>
          <w:lang w:val="en-GB"/>
        </w:rPr>
        <w:t>cancelled</w:t>
      </w:r>
      <w:r w:rsidR="00356A58" w:rsidRPr="007A5C5F">
        <w:rPr>
          <w:b/>
          <w:bCs/>
          <w:sz w:val="22"/>
          <w:szCs w:val="22"/>
          <w:lang w:val="en-GB"/>
        </w:rPr>
        <w:t xml:space="preserve"> activities would further reinforce the ecosystem of Access to Justice in this field, ensuring more robust and sustainable results.</w:t>
      </w:r>
    </w:p>
    <w:p w14:paraId="501FE9BB" w14:textId="77777777" w:rsidR="00356A58" w:rsidRPr="007A5C5F" w:rsidRDefault="00356A58" w:rsidP="00AD0F94">
      <w:pPr>
        <w:pStyle w:val="ListParagraph"/>
        <w:numPr>
          <w:ilvl w:val="0"/>
          <w:numId w:val="49"/>
        </w:numPr>
        <w:jc w:val="both"/>
        <w:rPr>
          <w:sz w:val="22"/>
          <w:szCs w:val="22"/>
          <w:lang w:val="en-GB"/>
        </w:rPr>
      </w:pPr>
      <w:r w:rsidRPr="007A5C5F">
        <w:rPr>
          <w:sz w:val="22"/>
          <w:szCs w:val="22"/>
          <w:lang w:val="en-GB"/>
        </w:rPr>
        <w:t xml:space="preserve">The establishment of the </w:t>
      </w:r>
      <w:r w:rsidRPr="007A5C5F">
        <w:rPr>
          <w:b/>
          <w:bCs/>
          <w:sz w:val="22"/>
          <w:szCs w:val="22"/>
          <w:lang w:val="en-GB"/>
        </w:rPr>
        <w:t>LLM in International Environment and Climate Change Law</w:t>
      </w:r>
      <w:r w:rsidRPr="007A5C5F">
        <w:rPr>
          <w:sz w:val="22"/>
          <w:szCs w:val="22"/>
          <w:lang w:val="en-GB"/>
        </w:rPr>
        <w:t>, with 24 students currently enrolled, is a pivotal achievement that ensures the sustainability of JURE’s outcomes. This program addresses a critical gap in Sri Lanka, where only one qualified lawyer currently specializes in environmental law and practice. By training a new generation of legal professionals with expertise in this field, the initiative lays a strong foundation for advancing environmental justice and governance in the long term.</w:t>
      </w:r>
    </w:p>
    <w:p w14:paraId="73567C87" w14:textId="77777777" w:rsidR="00356A58" w:rsidRPr="007A5C5F" w:rsidRDefault="00356A58" w:rsidP="00AD0F94">
      <w:pPr>
        <w:pStyle w:val="ListParagraph"/>
        <w:numPr>
          <w:ilvl w:val="0"/>
          <w:numId w:val="49"/>
        </w:numPr>
        <w:jc w:val="both"/>
        <w:rPr>
          <w:sz w:val="22"/>
          <w:szCs w:val="22"/>
          <w:lang w:val="en-GB"/>
        </w:rPr>
      </w:pPr>
      <w:r w:rsidRPr="007A5C5F">
        <w:rPr>
          <w:sz w:val="22"/>
          <w:szCs w:val="22"/>
          <w:lang w:val="en-GB"/>
        </w:rPr>
        <w:t>Investing in younger generations of lawyers is a particularly sustainable approach. It creates a steady pipeline of expertise, ensuring that legal professionals equipped to handle complex environmental challenges are available well into the future. This expanded capacity not only strengthens institutions by enabling them to address environmental cases and draft policies effectively but also ensures that efforts to protect natural resources and combat climate change are resilient and enduring.</w:t>
      </w:r>
    </w:p>
    <w:p w14:paraId="57F44E36" w14:textId="77777777" w:rsidR="00356A58" w:rsidRPr="007A5C5F" w:rsidRDefault="00356A58" w:rsidP="00AD0F94">
      <w:pPr>
        <w:pStyle w:val="ListParagraph"/>
        <w:numPr>
          <w:ilvl w:val="0"/>
          <w:numId w:val="49"/>
        </w:numPr>
        <w:jc w:val="both"/>
        <w:rPr>
          <w:sz w:val="22"/>
          <w:szCs w:val="22"/>
          <w:lang w:val="en-GB"/>
        </w:rPr>
      </w:pPr>
      <w:r w:rsidRPr="007A5C5F">
        <w:rPr>
          <w:sz w:val="22"/>
          <w:szCs w:val="22"/>
          <w:lang w:val="en-GB"/>
        </w:rPr>
        <w:t>Moreover, younger lawyers bring fresh perspectives and are more likely to adopt innovative approaches, such as leveraging technology and engaging with communities to promote advocacy. This adaptability is essential for addressing emerging and evolving environmental issues. Importantly, this investment ensures continuity, reducing the risks of over-reliance on a limited pool of specialists and embedding environmental expertise more broadly across the legal system.</w:t>
      </w:r>
    </w:p>
    <w:p w14:paraId="52696188" w14:textId="77777777" w:rsidR="00356A58" w:rsidRPr="007A5C5F" w:rsidRDefault="00356A58" w:rsidP="00AD0F94">
      <w:pPr>
        <w:pStyle w:val="ListParagraph"/>
        <w:numPr>
          <w:ilvl w:val="0"/>
          <w:numId w:val="49"/>
        </w:numPr>
        <w:jc w:val="both"/>
        <w:rPr>
          <w:sz w:val="22"/>
          <w:szCs w:val="22"/>
          <w:lang w:val="en-GB"/>
        </w:rPr>
      </w:pPr>
      <w:r w:rsidRPr="007A5C5F">
        <w:rPr>
          <w:sz w:val="22"/>
          <w:szCs w:val="22"/>
          <w:lang w:val="en-GB"/>
        </w:rPr>
        <w:t>As Sri Lanka faces growing environmental challenges, having a cadre of trained lawyers directly supports national priorities while aligning with international commitments, such as the Sustainable Development Goals. The LLM program not only amplifies JURE’s immediate impact but also ensures that its legacy is sustained through the long-term development of environmental law expertise in the country.</w:t>
      </w:r>
    </w:p>
    <w:p w14:paraId="2FCF782C" w14:textId="77777777" w:rsidR="00356A58" w:rsidRPr="007A5C5F" w:rsidRDefault="00356A58" w:rsidP="00AD0F94">
      <w:pPr>
        <w:pStyle w:val="ListParagraph"/>
        <w:numPr>
          <w:ilvl w:val="0"/>
          <w:numId w:val="49"/>
        </w:numPr>
        <w:jc w:val="both"/>
        <w:rPr>
          <w:sz w:val="22"/>
          <w:szCs w:val="22"/>
          <w:lang w:val="en-GB"/>
        </w:rPr>
      </w:pPr>
      <w:r w:rsidRPr="007A5C5F">
        <w:rPr>
          <w:sz w:val="22"/>
          <w:szCs w:val="22"/>
          <w:lang w:val="en-GB"/>
        </w:rPr>
        <w:t>The EU’s strategic investment in JURE highlights its commitment to transformative justice reforms in Sri Lanka, demonstrating how large-scale, comprehensive, and systemic interventions can create sustainable and inclusive improvements in the justice sector.</w:t>
      </w:r>
    </w:p>
    <w:p w14:paraId="4541FAB0" w14:textId="6C0FCBA2" w:rsidR="00356A58" w:rsidRPr="007A5C5F" w:rsidRDefault="00356A58" w:rsidP="00AD0F94">
      <w:pPr>
        <w:pStyle w:val="ListParagraph"/>
        <w:numPr>
          <w:ilvl w:val="0"/>
          <w:numId w:val="49"/>
        </w:numPr>
        <w:jc w:val="both"/>
        <w:rPr>
          <w:b/>
          <w:bCs/>
          <w:sz w:val="22"/>
          <w:szCs w:val="22"/>
          <w:lang w:val="en-GB"/>
        </w:rPr>
      </w:pPr>
      <w:r w:rsidRPr="007A5C5F">
        <w:rPr>
          <w:b/>
          <w:bCs/>
          <w:sz w:val="22"/>
          <w:szCs w:val="22"/>
          <w:lang w:val="en-GB"/>
        </w:rPr>
        <w:lastRenderedPageBreak/>
        <w:t>Finding</w:t>
      </w:r>
      <w:r w:rsidR="009E2B5C" w:rsidRPr="007A5C5F">
        <w:rPr>
          <w:b/>
          <w:bCs/>
          <w:sz w:val="22"/>
          <w:szCs w:val="22"/>
          <w:lang w:val="en-GB"/>
        </w:rPr>
        <w:t xml:space="preserve"> </w:t>
      </w:r>
      <w:r w:rsidR="00355BD2" w:rsidRPr="007A5C5F">
        <w:rPr>
          <w:b/>
          <w:bCs/>
          <w:sz w:val="22"/>
          <w:szCs w:val="22"/>
          <w:lang w:val="en-GB"/>
        </w:rPr>
        <w:t>20</w:t>
      </w:r>
      <w:r w:rsidR="009E2B5C" w:rsidRPr="007A5C5F">
        <w:rPr>
          <w:b/>
          <w:bCs/>
          <w:sz w:val="22"/>
          <w:szCs w:val="22"/>
          <w:lang w:val="en-GB"/>
        </w:rPr>
        <w:t>.</w:t>
      </w:r>
      <w:r w:rsidRPr="007A5C5F">
        <w:rPr>
          <w:b/>
          <w:bCs/>
          <w:sz w:val="22"/>
          <w:szCs w:val="22"/>
          <w:lang w:val="en-GB"/>
        </w:rPr>
        <w:t xml:space="preserve"> Limited Integration of EU Best Practices in JURE Implementation. This oversight has curtailed the project's ability to fully leverage the EU’s expertise, added value, and visibility in fostering systemic change.</w:t>
      </w:r>
    </w:p>
    <w:p w14:paraId="67CC7CA0" w14:textId="5D00169D" w:rsidR="00356A58" w:rsidRPr="007A5C5F" w:rsidRDefault="00356A58" w:rsidP="00AD0F94">
      <w:pPr>
        <w:pStyle w:val="ListParagraph"/>
        <w:numPr>
          <w:ilvl w:val="0"/>
          <w:numId w:val="49"/>
        </w:numPr>
        <w:jc w:val="both"/>
        <w:rPr>
          <w:sz w:val="22"/>
          <w:szCs w:val="22"/>
          <w:lang w:val="en-GB"/>
        </w:rPr>
      </w:pPr>
      <w:r w:rsidRPr="007A5C5F">
        <w:rPr>
          <w:sz w:val="22"/>
          <w:szCs w:val="22"/>
          <w:lang w:val="en-GB"/>
        </w:rPr>
        <w:t xml:space="preserve">For instance, academic institutions </w:t>
      </w:r>
      <w:r w:rsidR="009E2B5C" w:rsidRPr="007A5C5F">
        <w:rPr>
          <w:sz w:val="22"/>
          <w:szCs w:val="22"/>
          <w:lang w:val="en-GB"/>
        </w:rPr>
        <w:t>participations</w:t>
      </w:r>
      <w:r w:rsidRPr="007A5C5F">
        <w:rPr>
          <w:sz w:val="22"/>
          <w:szCs w:val="22"/>
          <w:lang w:val="en-GB"/>
        </w:rPr>
        <w:t xml:space="preserve"> in the project, such as those involved in the LLM in Environmental Law, could have benefited from partnerships with leading European universities. Collaborations with institutions such as the Global Campus for Human Rights</w:t>
      </w:r>
      <w:r w:rsidR="009E2B5C" w:rsidRPr="007A5C5F">
        <w:rPr>
          <w:rStyle w:val="FootnoteReference"/>
          <w:sz w:val="22"/>
          <w:szCs w:val="22"/>
          <w:lang w:val="en-GB"/>
        </w:rPr>
        <w:footnoteReference w:id="84"/>
      </w:r>
      <w:r w:rsidRPr="007A5C5F">
        <w:rPr>
          <w:sz w:val="22"/>
          <w:szCs w:val="22"/>
          <w:lang w:val="en-GB"/>
        </w:rPr>
        <w:t xml:space="preserve">, which is active in the region, would have not only enhanced the academic </w:t>
      </w:r>
      <w:r w:rsidR="00597CD7">
        <w:rPr>
          <w:sz w:val="22"/>
          <w:szCs w:val="22"/>
          <w:lang w:val="en-GB"/>
        </w:rPr>
        <w:t>rigour</w:t>
      </w:r>
      <w:r w:rsidRPr="007A5C5F">
        <w:rPr>
          <w:sz w:val="22"/>
          <w:szCs w:val="22"/>
          <w:lang w:val="en-GB"/>
        </w:rPr>
        <w:t xml:space="preserve"> of these programs but also opened opportunities for European accreditation and sustained collaboration between the academic institutions. Such partnerships would lend international credibility to the academic initiatives under JURE while exposing Sri Lankan students and academics to global best practices in human rights and environmental law education.</w:t>
      </w:r>
    </w:p>
    <w:p w14:paraId="0B176BA3" w14:textId="77777777" w:rsidR="00356A58" w:rsidRPr="007A5C5F" w:rsidRDefault="00356A58" w:rsidP="00AD0F94">
      <w:pPr>
        <w:pStyle w:val="ListParagraph"/>
        <w:numPr>
          <w:ilvl w:val="0"/>
          <w:numId w:val="49"/>
        </w:numPr>
        <w:jc w:val="both"/>
        <w:rPr>
          <w:sz w:val="22"/>
          <w:szCs w:val="22"/>
          <w:lang w:val="en-GB"/>
        </w:rPr>
      </w:pPr>
      <w:r w:rsidRPr="007A5C5F">
        <w:rPr>
          <w:sz w:val="22"/>
          <w:szCs w:val="22"/>
          <w:lang w:val="en-GB"/>
        </w:rPr>
        <w:t>Moreover, best practices from the European Commission for the Efficiency of Justice (CEPEJ) could have been highly beneficial in addressing systemic challenges in the Sri Lankan justice system. CEPEJ’s tools, developed to optimize court administration and improve judicial performance, are designed to work across diverse legal systems, making them highly adaptable to Sri Lanka’s unique justice sector needs. For example:</w:t>
      </w:r>
    </w:p>
    <w:p w14:paraId="1C891319" w14:textId="77777777" w:rsidR="00356A58" w:rsidRPr="00356A58" w:rsidRDefault="00356A58" w:rsidP="00AD0F94">
      <w:pPr>
        <w:pStyle w:val="ListParagraph"/>
        <w:numPr>
          <w:ilvl w:val="0"/>
          <w:numId w:val="49"/>
        </w:numPr>
        <w:jc w:val="both"/>
        <w:rPr>
          <w:sz w:val="22"/>
          <w:szCs w:val="22"/>
          <w:lang w:val="en-GB"/>
        </w:rPr>
      </w:pPr>
      <w:r w:rsidRPr="00356A58">
        <w:rPr>
          <w:b/>
          <w:bCs/>
          <w:sz w:val="22"/>
          <w:szCs w:val="22"/>
          <w:lang w:val="en-GB"/>
        </w:rPr>
        <w:t>Court Administration and Performance Measurement</w:t>
      </w:r>
      <w:r w:rsidRPr="00356A58">
        <w:rPr>
          <w:sz w:val="22"/>
          <w:szCs w:val="22"/>
          <w:lang w:val="en-GB"/>
        </w:rPr>
        <w:t xml:space="preserve">: CEPEJ’s methodologies, such as the </w:t>
      </w:r>
      <w:r w:rsidRPr="00356A58">
        <w:rPr>
          <w:b/>
          <w:bCs/>
          <w:sz w:val="22"/>
          <w:szCs w:val="22"/>
          <w:lang w:val="en-GB"/>
        </w:rPr>
        <w:t>Court Dashboard</w:t>
      </w:r>
      <w:r w:rsidRPr="00356A58">
        <w:rPr>
          <w:sz w:val="22"/>
          <w:szCs w:val="22"/>
          <w:lang w:val="en-GB"/>
        </w:rPr>
        <w:t xml:space="preserve"> and </w:t>
      </w:r>
      <w:r w:rsidRPr="00356A58">
        <w:rPr>
          <w:b/>
          <w:bCs/>
          <w:sz w:val="22"/>
          <w:szCs w:val="22"/>
          <w:lang w:val="en-GB"/>
        </w:rPr>
        <w:t>Time Management Guidelines</w:t>
      </w:r>
      <w:r w:rsidRPr="00356A58">
        <w:rPr>
          <w:sz w:val="22"/>
          <w:szCs w:val="22"/>
          <w:lang w:val="en-GB"/>
        </w:rPr>
        <w:t>, provide evidence-based approaches to measure court performance, identify bottlenecks, and propose tailored solutions. These tools could have supported JURE in conducting a determinant analysis of Sri Lanka's court administration and devising a targeted strategy to reduce the backlog of cases.</w:t>
      </w:r>
    </w:p>
    <w:p w14:paraId="51AE797A" w14:textId="025A4E65" w:rsidR="00356A58" w:rsidRPr="00356A58" w:rsidRDefault="009C2EF1" w:rsidP="00AD0F94">
      <w:pPr>
        <w:pStyle w:val="ListParagraph"/>
        <w:numPr>
          <w:ilvl w:val="0"/>
          <w:numId w:val="49"/>
        </w:numPr>
        <w:jc w:val="both"/>
        <w:rPr>
          <w:sz w:val="22"/>
          <w:szCs w:val="22"/>
          <w:lang w:val="en-GB"/>
        </w:rPr>
      </w:pPr>
      <w:r w:rsidRPr="007A5C5F">
        <w:rPr>
          <w:b/>
          <w:bCs/>
          <w:sz w:val="22"/>
          <w:szCs w:val="22"/>
          <w:lang w:val="en-GB"/>
        </w:rPr>
        <w:t>Case flow</w:t>
      </w:r>
      <w:r w:rsidR="00356A58" w:rsidRPr="00356A58">
        <w:rPr>
          <w:b/>
          <w:bCs/>
          <w:sz w:val="22"/>
          <w:szCs w:val="22"/>
          <w:lang w:val="en-GB"/>
        </w:rPr>
        <w:t xml:space="preserve"> Management and Digital Solutions</w:t>
      </w:r>
      <w:r w:rsidR="00356A58" w:rsidRPr="00356A58">
        <w:rPr>
          <w:sz w:val="22"/>
          <w:szCs w:val="22"/>
          <w:lang w:val="en-GB"/>
        </w:rPr>
        <w:t xml:space="preserve">: CEPEJ’s experiences with </w:t>
      </w:r>
      <w:r w:rsidRPr="007A5C5F">
        <w:rPr>
          <w:sz w:val="22"/>
          <w:szCs w:val="22"/>
          <w:lang w:val="en-GB"/>
        </w:rPr>
        <w:t>case flow</w:t>
      </w:r>
      <w:r w:rsidR="00356A58" w:rsidRPr="00356A58">
        <w:rPr>
          <w:sz w:val="22"/>
          <w:szCs w:val="22"/>
          <w:lang w:val="en-GB"/>
        </w:rPr>
        <w:t xml:space="preserve"> management systems and digital tools, such as e-justice platforms, could have informed the digitalization efforts under JURE. Incorporating these practices would enhance the transparency and accessibility of justice services while ensuring efficient handling of cases, particularly in overburdened courts.</w:t>
      </w:r>
    </w:p>
    <w:p w14:paraId="6E28486B" w14:textId="0CFEFD5E" w:rsidR="00356A58" w:rsidRPr="007A5C5F" w:rsidRDefault="00356A58" w:rsidP="00AD0F94">
      <w:pPr>
        <w:pStyle w:val="ListParagraph"/>
        <w:numPr>
          <w:ilvl w:val="0"/>
          <w:numId w:val="49"/>
        </w:numPr>
        <w:jc w:val="both"/>
        <w:rPr>
          <w:sz w:val="22"/>
          <w:szCs w:val="22"/>
          <w:lang w:val="en-GB"/>
        </w:rPr>
      </w:pPr>
      <w:r w:rsidRPr="00356A58">
        <w:rPr>
          <w:b/>
          <w:bCs/>
          <w:sz w:val="22"/>
          <w:szCs w:val="22"/>
          <w:lang w:val="en-GB"/>
        </w:rPr>
        <w:t>Access to Justice and User-</w:t>
      </w:r>
      <w:r w:rsidR="007A5C5F" w:rsidRPr="00356A58">
        <w:rPr>
          <w:b/>
          <w:bCs/>
          <w:sz w:val="22"/>
          <w:szCs w:val="22"/>
          <w:lang w:val="en-GB"/>
        </w:rPr>
        <w:t>Centred</w:t>
      </w:r>
      <w:r w:rsidRPr="00356A58">
        <w:rPr>
          <w:b/>
          <w:bCs/>
          <w:sz w:val="22"/>
          <w:szCs w:val="22"/>
          <w:lang w:val="en-GB"/>
        </w:rPr>
        <w:t xml:space="preserve"> Services</w:t>
      </w:r>
      <w:r w:rsidRPr="00356A58">
        <w:rPr>
          <w:sz w:val="22"/>
          <w:szCs w:val="22"/>
          <w:lang w:val="en-GB"/>
        </w:rPr>
        <w:t>: CEPEJ promotes user-</w:t>
      </w:r>
      <w:r w:rsidR="007A5C5F" w:rsidRPr="00356A58">
        <w:rPr>
          <w:sz w:val="22"/>
          <w:szCs w:val="22"/>
          <w:lang w:val="en-GB"/>
        </w:rPr>
        <w:t>centred</w:t>
      </w:r>
      <w:r w:rsidRPr="00356A58">
        <w:rPr>
          <w:sz w:val="22"/>
          <w:szCs w:val="22"/>
          <w:lang w:val="en-GB"/>
        </w:rPr>
        <w:t xml:space="preserve"> reforms, such as simplifying court procedures, improving legal aid systems, and developing performance indicators that measure the quality of judicial services. These approaches align with JURE’s objectives and could have provided concrete solutions for streamlining case management systems in legal aid and ensuring equitable access to justice for underserved communities.</w:t>
      </w:r>
    </w:p>
    <w:p w14:paraId="3780CEA7" w14:textId="68D79158" w:rsidR="00356A58" w:rsidRPr="009C1D21" w:rsidRDefault="00356A58" w:rsidP="00C63A0D">
      <w:pPr>
        <w:pStyle w:val="ListParagraph"/>
        <w:numPr>
          <w:ilvl w:val="0"/>
          <w:numId w:val="49"/>
        </w:numPr>
        <w:jc w:val="both"/>
        <w:rPr>
          <w:sz w:val="22"/>
          <w:szCs w:val="22"/>
          <w:lang w:val="en-GB"/>
        </w:rPr>
      </w:pPr>
      <w:r w:rsidRPr="007A5C5F">
        <w:rPr>
          <w:sz w:val="22"/>
          <w:szCs w:val="22"/>
          <w:lang w:val="en-GB"/>
        </w:rPr>
        <w:t>In addition, national human rights institutions (NHRIs), anti-corruption mechanisms, and legal aid case management systems under JURE could have drawn upon established EU best practices</w:t>
      </w:r>
      <w:r w:rsidR="004D14C3">
        <w:rPr>
          <w:sz w:val="22"/>
          <w:szCs w:val="22"/>
          <w:lang w:val="en-GB"/>
        </w:rPr>
        <w:t xml:space="preserve"> or best </w:t>
      </w:r>
      <w:proofErr w:type="gramStart"/>
      <w:r w:rsidR="004D14C3">
        <w:rPr>
          <w:sz w:val="22"/>
          <w:szCs w:val="22"/>
          <w:lang w:val="en-GB"/>
        </w:rPr>
        <w:t xml:space="preserve">practices </w:t>
      </w:r>
      <w:r w:rsidR="009C1D21">
        <w:rPr>
          <w:sz w:val="22"/>
          <w:szCs w:val="22"/>
          <w:lang w:val="en-GB"/>
        </w:rPr>
        <w:t xml:space="preserve"> and</w:t>
      </w:r>
      <w:proofErr w:type="gramEnd"/>
      <w:r w:rsidR="009C1D21">
        <w:rPr>
          <w:sz w:val="22"/>
          <w:szCs w:val="22"/>
          <w:lang w:val="en-GB"/>
        </w:rPr>
        <w:t xml:space="preserve"> the lessons learned </w:t>
      </w:r>
      <w:r w:rsidR="004D14C3">
        <w:rPr>
          <w:sz w:val="22"/>
          <w:szCs w:val="22"/>
          <w:lang w:val="en-GB"/>
        </w:rPr>
        <w:t xml:space="preserve">of Global RoL </w:t>
      </w:r>
      <w:r w:rsidR="00C63A0D">
        <w:rPr>
          <w:sz w:val="22"/>
          <w:szCs w:val="22"/>
          <w:lang w:val="en-GB"/>
        </w:rPr>
        <w:t>Programmes</w:t>
      </w:r>
      <w:r w:rsidR="004D14C3">
        <w:rPr>
          <w:sz w:val="22"/>
          <w:szCs w:val="22"/>
          <w:lang w:val="en-GB"/>
        </w:rPr>
        <w:t xml:space="preserve"> of the UNDP</w:t>
      </w:r>
      <w:r w:rsidR="004D14C3">
        <w:rPr>
          <w:rStyle w:val="FootnoteReference"/>
          <w:sz w:val="22"/>
          <w:szCs w:val="22"/>
          <w:lang w:val="en-GB"/>
        </w:rPr>
        <w:footnoteReference w:id="85"/>
      </w:r>
      <w:r w:rsidRPr="007A5C5F">
        <w:rPr>
          <w:sz w:val="22"/>
          <w:szCs w:val="22"/>
          <w:lang w:val="en-GB"/>
        </w:rPr>
        <w:t>. European experiences in managing legal aid systems, enhancing transparency, and promoting accountability could have provided innovative solutions. These mechanisms are transferable across legal systems, demonstrating that the EU’s blend of continental civil law expertise can complement Sri Lanka’s common law framework effectively.</w:t>
      </w:r>
      <w:r w:rsidR="00035B4B">
        <w:rPr>
          <w:sz w:val="22"/>
          <w:szCs w:val="22"/>
          <w:lang w:val="en-GB"/>
        </w:rPr>
        <w:t xml:space="preserve"> UNDP as </w:t>
      </w:r>
      <w:r w:rsidR="00C63A0D">
        <w:rPr>
          <w:sz w:val="22"/>
          <w:szCs w:val="22"/>
          <w:lang w:val="en-GB"/>
        </w:rPr>
        <w:t>colleagues</w:t>
      </w:r>
      <w:r w:rsidR="00035B4B">
        <w:rPr>
          <w:sz w:val="22"/>
          <w:szCs w:val="22"/>
          <w:lang w:val="en-GB"/>
        </w:rPr>
        <w:t xml:space="preserve"> should also take into </w:t>
      </w:r>
      <w:r w:rsidR="00C63A0D">
        <w:rPr>
          <w:sz w:val="22"/>
          <w:szCs w:val="22"/>
          <w:lang w:val="en-GB"/>
        </w:rPr>
        <w:t>consideration</w:t>
      </w:r>
      <w:r w:rsidR="00035B4B">
        <w:rPr>
          <w:sz w:val="22"/>
          <w:szCs w:val="22"/>
          <w:lang w:val="en-GB"/>
        </w:rPr>
        <w:t xml:space="preserve"> of its in-house studies</w:t>
      </w:r>
      <w:r w:rsidR="009C1D21">
        <w:rPr>
          <w:sz w:val="22"/>
          <w:szCs w:val="22"/>
          <w:lang w:val="en-GB"/>
        </w:rPr>
        <w:t xml:space="preserve"> and lessons</w:t>
      </w:r>
      <w:r w:rsidR="00035B4B">
        <w:rPr>
          <w:sz w:val="22"/>
          <w:szCs w:val="22"/>
          <w:lang w:val="en-GB"/>
        </w:rPr>
        <w:t xml:space="preserve"> in this regard that recommends: “</w:t>
      </w:r>
      <w:r w:rsidR="00035B4B" w:rsidRPr="00D24919">
        <w:rPr>
          <w:sz w:val="22"/>
          <w:szCs w:val="22"/>
          <w:lang w:val="en-GB"/>
        </w:rPr>
        <w:t>UNDP should deepen its support to e-justice to enhance the efficiency and quality of justice processes, while paying due attention to risks related to widening existing digital gaps and data protection.</w:t>
      </w:r>
      <w:r w:rsidR="00035B4B">
        <w:rPr>
          <w:sz w:val="22"/>
          <w:szCs w:val="22"/>
          <w:lang w:val="en-GB"/>
        </w:rPr>
        <w:t>”</w:t>
      </w:r>
      <w:r w:rsidR="00C63A0D" w:rsidRPr="00C63A0D">
        <w:t>The same report provides an important lesson to consider in the ongoing implementation: "UNDP digital efforts (including on e-justice) appear disjointed, and concerns were raised that, without a proper understanding of needs, country offices might be tempted to adopt a technological solution rather than a problem-driven approach."</w:t>
      </w:r>
      <w:r w:rsidR="009C1D21" w:rsidRPr="00D24919">
        <w:rPr>
          <w:sz w:val="22"/>
          <w:szCs w:val="22"/>
        </w:rPr>
        <w:t xml:space="preserve"> Collaboration between key offices working on digitalization of justice services, including the </w:t>
      </w:r>
      <w:r w:rsidR="009C1D21">
        <w:rPr>
          <w:sz w:val="22"/>
          <w:szCs w:val="22"/>
        </w:rPr>
        <w:t xml:space="preserve">UNDP </w:t>
      </w:r>
      <w:r w:rsidR="009C1D21" w:rsidRPr="00D24919">
        <w:rPr>
          <w:sz w:val="22"/>
          <w:szCs w:val="22"/>
        </w:rPr>
        <w:t xml:space="preserve">Chief Digital office (CDO) and the </w:t>
      </w:r>
      <w:r w:rsidR="009C1D21">
        <w:rPr>
          <w:sz w:val="22"/>
          <w:szCs w:val="22"/>
        </w:rPr>
        <w:t xml:space="preserve">UNDP </w:t>
      </w:r>
      <w:r w:rsidR="009C1D21" w:rsidRPr="00D24919">
        <w:rPr>
          <w:sz w:val="22"/>
          <w:szCs w:val="22"/>
        </w:rPr>
        <w:t>Accelerator Labs (A-Labs), has been generally insufficient, and the Digital Advocates Network has not yet built the necessary culture of digital innovation on e-justice at the regional and country levels</w:t>
      </w:r>
      <w:r w:rsidR="009C1D21">
        <w:rPr>
          <w:rStyle w:val="FootnoteReference"/>
          <w:sz w:val="22"/>
          <w:szCs w:val="22"/>
        </w:rPr>
        <w:footnoteReference w:id="86"/>
      </w:r>
      <w:r w:rsidR="009C1D21" w:rsidRPr="00D24919">
        <w:rPr>
          <w:sz w:val="22"/>
          <w:szCs w:val="22"/>
        </w:rPr>
        <w:t>.</w:t>
      </w:r>
      <w:r w:rsidR="009C1D21" w:rsidRPr="009C1D21">
        <w:rPr>
          <w:sz w:val="22"/>
          <w:szCs w:val="22"/>
          <w:lang w:val="en-GB"/>
        </w:rPr>
        <w:t>”</w:t>
      </w:r>
    </w:p>
    <w:p w14:paraId="12E1E98B" w14:textId="77777777" w:rsidR="00356A58" w:rsidRPr="007A5C5F" w:rsidRDefault="00356A58" w:rsidP="00AD0F94">
      <w:pPr>
        <w:pStyle w:val="ListParagraph"/>
        <w:numPr>
          <w:ilvl w:val="0"/>
          <w:numId w:val="49"/>
        </w:numPr>
        <w:jc w:val="both"/>
        <w:rPr>
          <w:sz w:val="22"/>
          <w:szCs w:val="22"/>
          <w:lang w:val="en-GB"/>
        </w:rPr>
      </w:pPr>
      <w:r w:rsidRPr="007A5C5F">
        <w:rPr>
          <w:sz w:val="22"/>
          <w:szCs w:val="22"/>
          <w:lang w:val="en-GB"/>
        </w:rPr>
        <w:t xml:space="preserve">By not integrating these best practices, JURE missed an opportunity to maximize its impact and elevate the EU’s visibility as a leader in justice sector reforms. Future initiatives should prioritize </w:t>
      </w:r>
      <w:r w:rsidRPr="007A5C5F">
        <w:rPr>
          <w:sz w:val="22"/>
          <w:szCs w:val="22"/>
          <w:lang w:val="en-GB"/>
        </w:rPr>
        <w:lastRenderedPageBreak/>
        <w:t>partnerships with European institutions, accreditation opportunities, and the application of EU-tested methodologies. These efforts would not only enhance the sustainability and effectiveness of reforms but also strengthen the EU’s reputation as a key partner in advancing access to justice globally.</w:t>
      </w:r>
    </w:p>
    <w:p w14:paraId="734C52F3" w14:textId="05EF118D" w:rsidR="00F82264" w:rsidRPr="007A5C5F" w:rsidRDefault="00F82264" w:rsidP="00F82264">
      <w:pPr>
        <w:pStyle w:val="ListParagraph"/>
        <w:numPr>
          <w:ilvl w:val="0"/>
          <w:numId w:val="49"/>
        </w:numPr>
        <w:jc w:val="both"/>
        <w:rPr>
          <w:sz w:val="22"/>
          <w:szCs w:val="22"/>
          <w:lang w:val="en-GB"/>
        </w:rPr>
      </w:pPr>
      <w:r w:rsidRPr="00F82264">
        <w:rPr>
          <w:sz w:val="22"/>
          <w:szCs w:val="22"/>
          <w:lang w:val="en-GB"/>
        </w:rPr>
        <w:t xml:space="preserve">Although the JURE Gender Action Plan incorporates corresponding EU GAP III indicators, not all of them are consistently reflected in the project’s </w:t>
      </w:r>
      <w:r w:rsidR="009C2EF1" w:rsidRPr="007A5C5F">
        <w:rPr>
          <w:sz w:val="22"/>
          <w:szCs w:val="22"/>
          <w:lang w:val="en-GB"/>
        </w:rPr>
        <w:t>Logframe</w:t>
      </w:r>
      <w:r w:rsidRPr="00F82264">
        <w:rPr>
          <w:sz w:val="22"/>
          <w:szCs w:val="22"/>
          <w:lang w:val="en-GB"/>
        </w:rPr>
        <w:t xml:space="preserve">. For example, the following indicators are explicitly mentioned in the project’s GAP but are not fully traceable within the </w:t>
      </w:r>
      <w:r w:rsidR="009C2EF1" w:rsidRPr="007A5C5F">
        <w:rPr>
          <w:sz w:val="22"/>
          <w:szCs w:val="22"/>
          <w:lang w:val="en-GB"/>
        </w:rPr>
        <w:t>Logframe</w:t>
      </w:r>
      <w:r w:rsidRPr="00F82264">
        <w:rPr>
          <w:sz w:val="22"/>
          <w:szCs w:val="22"/>
          <w:lang w:val="en-GB"/>
        </w:rPr>
        <w:t>:</w:t>
      </w:r>
    </w:p>
    <w:p w14:paraId="57E2937D" w14:textId="77777777" w:rsidR="00F82264" w:rsidRPr="00F82264" w:rsidRDefault="00F82264" w:rsidP="00F82264">
      <w:pPr>
        <w:pStyle w:val="ListParagraph"/>
        <w:numPr>
          <w:ilvl w:val="0"/>
          <w:numId w:val="0"/>
        </w:numPr>
        <w:ind w:left="502"/>
        <w:jc w:val="both"/>
        <w:rPr>
          <w:sz w:val="22"/>
          <w:szCs w:val="22"/>
          <w:lang w:val="en-GB"/>
        </w:rPr>
      </w:pPr>
    </w:p>
    <w:p w14:paraId="52172E8F" w14:textId="77777777" w:rsidR="00F82264" w:rsidRPr="00F82264" w:rsidRDefault="00F82264" w:rsidP="00F82264">
      <w:pPr>
        <w:pStyle w:val="ListParagraph"/>
        <w:numPr>
          <w:ilvl w:val="0"/>
          <w:numId w:val="177"/>
        </w:numPr>
        <w:jc w:val="both"/>
        <w:rPr>
          <w:i/>
          <w:iCs/>
          <w:sz w:val="22"/>
          <w:szCs w:val="22"/>
          <w:lang w:val="en-GB"/>
        </w:rPr>
      </w:pPr>
      <w:r w:rsidRPr="00F82264">
        <w:rPr>
          <w:i/>
          <w:iCs/>
          <w:sz w:val="22"/>
          <w:szCs w:val="22"/>
          <w:lang w:val="en-GB"/>
        </w:rPr>
        <w:t>Number of legislative actions taken in the partner country to ensure survivors of gender-based violence can access justice.</w:t>
      </w:r>
    </w:p>
    <w:p w14:paraId="5E620E92" w14:textId="77777777" w:rsidR="00F82264" w:rsidRPr="00F82264" w:rsidRDefault="00F82264" w:rsidP="00F82264">
      <w:pPr>
        <w:pStyle w:val="ListParagraph"/>
        <w:numPr>
          <w:ilvl w:val="0"/>
          <w:numId w:val="177"/>
        </w:numPr>
        <w:jc w:val="both"/>
        <w:rPr>
          <w:i/>
          <w:iCs/>
          <w:sz w:val="22"/>
          <w:szCs w:val="22"/>
          <w:lang w:val="en-GB"/>
        </w:rPr>
      </w:pPr>
      <w:r w:rsidRPr="00F82264">
        <w:rPr>
          <w:i/>
          <w:iCs/>
          <w:sz w:val="22"/>
          <w:szCs w:val="22"/>
          <w:lang w:val="en-GB"/>
        </w:rPr>
        <w:t>Percentage of referred cases of gender-based and sexual violence against women and children that are investigated and sentenced (FPI RF).</w:t>
      </w:r>
    </w:p>
    <w:p w14:paraId="72D5E315" w14:textId="77777777" w:rsidR="00F82264" w:rsidRPr="00F82264" w:rsidRDefault="00F82264" w:rsidP="00F82264">
      <w:pPr>
        <w:pStyle w:val="ListParagraph"/>
        <w:numPr>
          <w:ilvl w:val="0"/>
          <w:numId w:val="177"/>
        </w:numPr>
        <w:jc w:val="both"/>
        <w:rPr>
          <w:i/>
          <w:iCs/>
          <w:sz w:val="22"/>
          <w:szCs w:val="22"/>
          <w:lang w:val="en-GB"/>
        </w:rPr>
      </w:pPr>
      <w:r w:rsidRPr="00F82264">
        <w:rPr>
          <w:i/>
          <w:iCs/>
          <w:sz w:val="22"/>
          <w:szCs w:val="22"/>
          <w:lang w:val="en-GB"/>
        </w:rPr>
        <w:t>Extent to which state entities and justice structures allocate resources for the prevention and elimination of all forms of gender-based violence (SI 2.2 amended).</w:t>
      </w:r>
    </w:p>
    <w:p w14:paraId="127599FD" w14:textId="77777777" w:rsidR="00F82264" w:rsidRDefault="00F82264" w:rsidP="00F82264">
      <w:pPr>
        <w:pStyle w:val="ListParagraph"/>
        <w:numPr>
          <w:ilvl w:val="0"/>
          <w:numId w:val="177"/>
        </w:numPr>
        <w:jc w:val="both"/>
        <w:rPr>
          <w:i/>
          <w:iCs/>
          <w:sz w:val="22"/>
          <w:szCs w:val="22"/>
          <w:lang w:val="en-GB"/>
        </w:rPr>
      </w:pPr>
      <w:r w:rsidRPr="00F82264">
        <w:rPr>
          <w:i/>
          <w:iCs/>
          <w:sz w:val="22"/>
          <w:szCs w:val="22"/>
          <w:lang w:val="en-GB"/>
        </w:rPr>
        <w:t>Percentage of women, including those facing intersecting and multiple forms of discrimination, who report experiencing physical or sexual violence and seek help by sector, i.e., (a) government services and civil society services; or (b) social welfare, legal aid, housing/shelter, police protection (SI 4.1 amended).</w:t>
      </w:r>
    </w:p>
    <w:p w14:paraId="0DDA1340" w14:textId="77777777" w:rsidR="00597CD7" w:rsidRPr="00F82264" w:rsidRDefault="00597CD7" w:rsidP="00597CD7">
      <w:pPr>
        <w:pStyle w:val="ListParagraph"/>
        <w:numPr>
          <w:ilvl w:val="0"/>
          <w:numId w:val="0"/>
        </w:numPr>
        <w:ind w:left="1494"/>
        <w:jc w:val="both"/>
        <w:rPr>
          <w:i/>
          <w:iCs/>
          <w:sz w:val="22"/>
          <w:szCs w:val="22"/>
          <w:lang w:val="en-GB"/>
        </w:rPr>
      </w:pPr>
    </w:p>
    <w:p w14:paraId="44A12E0A" w14:textId="507640DE" w:rsidR="00F82264" w:rsidRPr="007A5C5F" w:rsidRDefault="00F82264" w:rsidP="00F82264">
      <w:pPr>
        <w:pStyle w:val="ListParagraph"/>
        <w:numPr>
          <w:ilvl w:val="0"/>
          <w:numId w:val="49"/>
        </w:numPr>
        <w:jc w:val="both"/>
        <w:rPr>
          <w:sz w:val="22"/>
          <w:szCs w:val="22"/>
          <w:lang w:val="en-GB"/>
        </w:rPr>
      </w:pPr>
      <w:r w:rsidRPr="00F82264">
        <w:rPr>
          <w:sz w:val="22"/>
          <w:szCs w:val="22"/>
          <w:lang w:val="en-GB"/>
        </w:rPr>
        <w:t xml:space="preserve">To ensure alignment with EU GAP III and achieve meaningful gender equality outcomes, it is essential to integrate these indicators into the </w:t>
      </w:r>
      <w:r w:rsidR="009C2EF1" w:rsidRPr="007A5C5F">
        <w:rPr>
          <w:sz w:val="22"/>
          <w:szCs w:val="22"/>
          <w:lang w:val="en-GB"/>
        </w:rPr>
        <w:t>Logframe</w:t>
      </w:r>
      <w:r w:rsidRPr="00F82264">
        <w:rPr>
          <w:sz w:val="22"/>
          <w:szCs w:val="22"/>
          <w:lang w:val="en-GB"/>
        </w:rPr>
        <w:t xml:space="preserve"> and establish robust data collection and reporting </w:t>
      </w:r>
      <w:r w:rsidRPr="007A5C5F">
        <w:rPr>
          <w:sz w:val="22"/>
          <w:szCs w:val="22"/>
          <w:lang w:val="en-GB"/>
        </w:rPr>
        <w:t xml:space="preserve">mechanisms. The evaluator created a draft table to indicate how project results could be coherently reported </w:t>
      </w:r>
      <w:r w:rsidR="009E2B5C" w:rsidRPr="007A5C5F">
        <w:rPr>
          <w:sz w:val="22"/>
          <w:szCs w:val="22"/>
          <w:lang w:val="en-GB"/>
        </w:rPr>
        <w:t>against</w:t>
      </w:r>
      <w:r w:rsidRPr="007A5C5F">
        <w:rPr>
          <w:sz w:val="22"/>
          <w:szCs w:val="22"/>
          <w:lang w:val="en-GB"/>
        </w:rPr>
        <w:t xml:space="preserve"> the EU result framework to demonstrate the added-value of the EU support. </w:t>
      </w:r>
    </w:p>
    <w:p w14:paraId="680B786C" w14:textId="0D680860" w:rsidR="00F82264" w:rsidRPr="007A5C5F" w:rsidRDefault="00F82264" w:rsidP="00F82264">
      <w:pPr>
        <w:pStyle w:val="Caption"/>
        <w:rPr>
          <w:sz w:val="22"/>
          <w:szCs w:val="22"/>
          <w:lang w:val="en-GB"/>
        </w:rPr>
      </w:pPr>
      <w:r w:rsidRPr="007A5C5F">
        <w:rPr>
          <w:lang w:val="en-GB"/>
        </w:rPr>
        <w:t xml:space="preserve">Figure </w:t>
      </w:r>
      <w:r w:rsidRPr="007A5C5F">
        <w:rPr>
          <w:lang w:val="en-GB"/>
        </w:rPr>
        <w:fldChar w:fldCharType="begin"/>
      </w:r>
      <w:r w:rsidRPr="007A5C5F">
        <w:rPr>
          <w:lang w:val="en-GB"/>
        </w:rPr>
        <w:instrText xml:space="preserve"> SEQ Figure \* ARABIC </w:instrText>
      </w:r>
      <w:r w:rsidRPr="007A5C5F">
        <w:rPr>
          <w:lang w:val="en-GB"/>
        </w:rPr>
        <w:fldChar w:fldCharType="separate"/>
      </w:r>
      <w:r w:rsidR="0095181E">
        <w:rPr>
          <w:noProof/>
          <w:lang w:val="en-GB"/>
        </w:rPr>
        <w:t>11</w:t>
      </w:r>
      <w:r w:rsidRPr="007A5C5F">
        <w:rPr>
          <w:lang w:val="en-GB"/>
        </w:rPr>
        <w:fldChar w:fldCharType="end"/>
      </w:r>
      <w:r w:rsidRPr="007A5C5F">
        <w:rPr>
          <w:lang w:val="en-GB"/>
        </w:rPr>
        <w:t xml:space="preserve">.Summary of the JURE's contributions to the EU Global Europe Result </w:t>
      </w:r>
      <w:r w:rsidR="009E2B5C" w:rsidRPr="007A5C5F">
        <w:rPr>
          <w:lang w:val="en-GB"/>
        </w:rPr>
        <w:t>Framework</w:t>
      </w:r>
      <w:r w:rsidRPr="007A5C5F">
        <w:rPr>
          <w:lang w:val="en-GB"/>
        </w:rPr>
        <w:t xml:space="preserve"> (GERF)</w:t>
      </w:r>
      <w:r w:rsidR="0089398C">
        <w:rPr>
          <w:rStyle w:val="FootnoteReference"/>
          <w:lang w:val="en-GB"/>
        </w:rPr>
        <w:footnoteReference w:id="87"/>
      </w:r>
      <w:r w:rsidR="009E2B5C" w:rsidRPr="007A5C5F">
        <w:rPr>
          <w:lang w:val="en-GB"/>
        </w:rPr>
        <w:t>.</w:t>
      </w:r>
    </w:p>
    <w:tbl>
      <w:tblPr>
        <w:tblStyle w:val="GridTable5Dark-Accent2"/>
        <w:tblW w:w="5000" w:type="pct"/>
        <w:tblLook w:val="0400" w:firstRow="0" w:lastRow="0" w:firstColumn="0" w:lastColumn="0" w:noHBand="0" w:noVBand="1"/>
      </w:tblPr>
      <w:tblGrid>
        <w:gridCol w:w="3194"/>
        <w:gridCol w:w="3194"/>
        <w:gridCol w:w="3192"/>
      </w:tblGrid>
      <w:tr w:rsidR="00F82264" w:rsidRPr="007A5C5F" w14:paraId="35153216" w14:textId="77777777" w:rsidTr="005A53EE">
        <w:trPr>
          <w:cnfStyle w:val="000000100000" w:firstRow="0" w:lastRow="0" w:firstColumn="0" w:lastColumn="0" w:oddVBand="0" w:evenVBand="0" w:oddHBand="1" w:evenHBand="0" w:firstRowFirstColumn="0" w:firstRowLastColumn="0" w:lastRowFirstColumn="0" w:lastRowLastColumn="0"/>
        </w:trPr>
        <w:tc>
          <w:tcPr>
            <w:tcW w:w="1667" w:type="pct"/>
          </w:tcPr>
          <w:p w14:paraId="607B0FEC" w14:textId="77777777" w:rsidR="00F82264" w:rsidRPr="006D3B28" w:rsidRDefault="00F82264" w:rsidP="00D82F19">
            <w:pPr>
              <w:rPr>
                <w:b/>
                <w:bCs/>
                <w:sz w:val="20"/>
                <w:szCs w:val="20"/>
                <w:lang w:val="en-GB"/>
              </w:rPr>
            </w:pPr>
            <w:r w:rsidRPr="006D3B28">
              <w:rPr>
                <w:b/>
                <w:bCs/>
                <w:sz w:val="20"/>
                <w:szCs w:val="20"/>
                <w:lang w:val="en-GB"/>
              </w:rPr>
              <w:t>GERF Indicator</w:t>
            </w:r>
          </w:p>
        </w:tc>
        <w:tc>
          <w:tcPr>
            <w:tcW w:w="1667" w:type="pct"/>
          </w:tcPr>
          <w:p w14:paraId="6C1EC2B3" w14:textId="77777777" w:rsidR="00F82264" w:rsidRPr="006D3B28" w:rsidRDefault="00F82264" w:rsidP="00D82F19">
            <w:pPr>
              <w:rPr>
                <w:b/>
                <w:bCs/>
                <w:sz w:val="20"/>
                <w:szCs w:val="20"/>
                <w:lang w:val="en-GB"/>
              </w:rPr>
            </w:pPr>
            <w:r w:rsidRPr="006D3B28">
              <w:rPr>
                <w:b/>
                <w:bCs/>
                <w:sz w:val="20"/>
                <w:szCs w:val="20"/>
                <w:lang w:val="en-GB"/>
              </w:rPr>
              <w:t>JURE Contribution</w:t>
            </w:r>
          </w:p>
        </w:tc>
        <w:tc>
          <w:tcPr>
            <w:tcW w:w="1666" w:type="pct"/>
          </w:tcPr>
          <w:p w14:paraId="7320316E" w14:textId="77777777" w:rsidR="00F82264" w:rsidRPr="006D3B28" w:rsidRDefault="00F82264" w:rsidP="00D82F19">
            <w:pPr>
              <w:rPr>
                <w:b/>
                <w:bCs/>
                <w:sz w:val="20"/>
                <w:szCs w:val="20"/>
                <w:lang w:val="en-GB"/>
              </w:rPr>
            </w:pPr>
            <w:r w:rsidRPr="006D3B28">
              <w:rPr>
                <w:b/>
                <w:bCs/>
                <w:sz w:val="20"/>
                <w:szCs w:val="20"/>
                <w:lang w:val="en-GB"/>
              </w:rPr>
              <w:t>Relevance to EU Impact</w:t>
            </w:r>
          </w:p>
        </w:tc>
      </w:tr>
      <w:tr w:rsidR="00F82264" w:rsidRPr="007A5C5F" w14:paraId="3B2E229D" w14:textId="77777777" w:rsidTr="005A53EE">
        <w:tc>
          <w:tcPr>
            <w:tcW w:w="1667" w:type="pct"/>
          </w:tcPr>
          <w:p w14:paraId="092F49D7" w14:textId="77777777" w:rsidR="00F82264" w:rsidRPr="006D3B28" w:rsidRDefault="00F82264" w:rsidP="00D82F19">
            <w:pPr>
              <w:rPr>
                <w:sz w:val="20"/>
                <w:szCs w:val="20"/>
                <w:lang w:val="en-GB"/>
              </w:rPr>
            </w:pPr>
            <w:r w:rsidRPr="006D3B28">
              <w:rPr>
                <w:sz w:val="20"/>
                <w:szCs w:val="20"/>
                <w:lang w:val="en-GB"/>
              </w:rPr>
              <w:t>GERF 2.25: Number of people directly benefiting from legal aid interventions supported by the EU</w:t>
            </w:r>
          </w:p>
        </w:tc>
        <w:tc>
          <w:tcPr>
            <w:tcW w:w="1667" w:type="pct"/>
          </w:tcPr>
          <w:p w14:paraId="76307A65" w14:textId="77777777" w:rsidR="00F82264" w:rsidRPr="006D3B28" w:rsidRDefault="00F82264" w:rsidP="00D82F19">
            <w:pPr>
              <w:rPr>
                <w:sz w:val="20"/>
                <w:szCs w:val="20"/>
                <w:lang w:val="en-GB"/>
              </w:rPr>
            </w:pPr>
            <w:r w:rsidRPr="006D3B28">
              <w:rPr>
                <w:sz w:val="20"/>
                <w:szCs w:val="20"/>
                <w:lang w:val="en-GB"/>
              </w:rPr>
              <w:t>4,674 individuals (2,294 women, 2,380 men) received free legal advice during district consultations and legal aid camps.</w:t>
            </w:r>
          </w:p>
        </w:tc>
        <w:tc>
          <w:tcPr>
            <w:tcW w:w="1666" w:type="pct"/>
          </w:tcPr>
          <w:p w14:paraId="3CD464DC" w14:textId="77777777" w:rsidR="00F82264" w:rsidRPr="006D3B28" w:rsidRDefault="00F82264" w:rsidP="00D82F19">
            <w:pPr>
              <w:rPr>
                <w:sz w:val="20"/>
                <w:szCs w:val="20"/>
                <w:lang w:val="en-GB"/>
              </w:rPr>
            </w:pPr>
            <w:r w:rsidRPr="006D3B28">
              <w:rPr>
                <w:sz w:val="20"/>
                <w:szCs w:val="20"/>
                <w:lang w:val="en-GB"/>
              </w:rPr>
              <w:t>Demonstrates enhanced access to justice for underserved communities through EU-funded legal aid interventions.</w:t>
            </w:r>
          </w:p>
        </w:tc>
      </w:tr>
      <w:tr w:rsidR="00F82264" w:rsidRPr="007A5C5F" w14:paraId="4DB22245" w14:textId="77777777" w:rsidTr="005A53EE">
        <w:trPr>
          <w:cnfStyle w:val="000000100000" w:firstRow="0" w:lastRow="0" w:firstColumn="0" w:lastColumn="0" w:oddVBand="0" w:evenVBand="0" w:oddHBand="1" w:evenHBand="0" w:firstRowFirstColumn="0" w:firstRowLastColumn="0" w:lastRowFirstColumn="0" w:lastRowLastColumn="0"/>
        </w:trPr>
        <w:tc>
          <w:tcPr>
            <w:tcW w:w="1667" w:type="pct"/>
          </w:tcPr>
          <w:p w14:paraId="73F2C0F1" w14:textId="77777777" w:rsidR="00F82264" w:rsidRPr="006D3B28" w:rsidRDefault="00F82264" w:rsidP="00D82F19">
            <w:pPr>
              <w:rPr>
                <w:sz w:val="20"/>
                <w:szCs w:val="20"/>
                <w:lang w:val="en-GB"/>
              </w:rPr>
            </w:pPr>
            <w:r w:rsidRPr="006D3B28">
              <w:rPr>
                <w:sz w:val="20"/>
                <w:szCs w:val="20"/>
                <w:lang w:val="en-GB"/>
              </w:rPr>
              <w:t>GERF 2.28: Number of grassroots civil society organizations benefiting from (or reached by) EU support</w:t>
            </w:r>
          </w:p>
        </w:tc>
        <w:tc>
          <w:tcPr>
            <w:tcW w:w="1667" w:type="pct"/>
          </w:tcPr>
          <w:p w14:paraId="42E0CA92" w14:textId="77777777" w:rsidR="00F82264" w:rsidRPr="006D3B28" w:rsidRDefault="00F82264" w:rsidP="00D82F19">
            <w:pPr>
              <w:rPr>
                <w:sz w:val="20"/>
                <w:szCs w:val="20"/>
                <w:lang w:val="en-GB"/>
              </w:rPr>
            </w:pPr>
            <w:r w:rsidRPr="006D3B28">
              <w:rPr>
                <w:sz w:val="20"/>
                <w:szCs w:val="20"/>
                <w:lang w:val="en-GB"/>
              </w:rPr>
              <w:t>9 CSOs collaborated with JURE on capacity building, advocacy campaigns, and addressing justice-related issues like GBV and child protection.</w:t>
            </w:r>
          </w:p>
        </w:tc>
        <w:tc>
          <w:tcPr>
            <w:tcW w:w="1666" w:type="pct"/>
          </w:tcPr>
          <w:p w14:paraId="44C827F8" w14:textId="77777777" w:rsidR="00F82264" w:rsidRPr="006D3B28" w:rsidRDefault="00F82264" w:rsidP="00D82F19">
            <w:pPr>
              <w:rPr>
                <w:sz w:val="20"/>
                <w:szCs w:val="20"/>
                <w:lang w:val="en-GB"/>
              </w:rPr>
            </w:pPr>
            <w:r w:rsidRPr="006D3B28">
              <w:rPr>
                <w:sz w:val="20"/>
                <w:szCs w:val="20"/>
                <w:lang w:val="en-GB"/>
              </w:rPr>
              <w:t>Highlights the EU’s role in strengthening grassroots capacities, fostering community ownership, and embedding systemic reforms.</w:t>
            </w:r>
          </w:p>
        </w:tc>
      </w:tr>
      <w:tr w:rsidR="00F82264" w:rsidRPr="007A5C5F" w14:paraId="1CE09B76" w14:textId="77777777" w:rsidTr="005A53EE">
        <w:tc>
          <w:tcPr>
            <w:tcW w:w="1667" w:type="pct"/>
          </w:tcPr>
          <w:p w14:paraId="45D98E5A" w14:textId="77777777" w:rsidR="00F82264" w:rsidRPr="006D3B28" w:rsidRDefault="00F82264" w:rsidP="00D82F19">
            <w:pPr>
              <w:rPr>
                <w:sz w:val="20"/>
                <w:szCs w:val="20"/>
                <w:lang w:val="en-GB"/>
              </w:rPr>
            </w:pPr>
            <w:r w:rsidRPr="006D3B28">
              <w:rPr>
                <w:sz w:val="20"/>
                <w:szCs w:val="20"/>
                <w:lang w:val="en-GB"/>
              </w:rPr>
              <w:t>GERF 2.30: Number of victims of human rights violations directly benefiting from assistance funded by the EU</w:t>
            </w:r>
          </w:p>
        </w:tc>
        <w:tc>
          <w:tcPr>
            <w:tcW w:w="1667" w:type="pct"/>
          </w:tcPr>
          <w:p w14:paraId="4636F201" w14:textId="72B3937F" w:rsidR="00F82264" w:rsidRPr="006D3B28" w:rsidRDefault="00F82264" w:rsidP="00D82F19">
            <w:pPr>
              <w:rPr>
                <w:sz w:val="20"/>
                <w:szCs w:val="20"/>
                <w:lang w:val="en-GB"/>
              </w:rPr>
            </w:pPr>
            <w:r w:rsidRPr="006D3B28">
              <w:rPr>
                <w:sz w:val="20"/>
                <w:szCs w:val="20"/>
                <w:lang w:val="en-GB"/>
              </w:rPr>
              <w:t>Over 12,982 cases involving human rights violations handled by LAC</w:t>
            </w:r>
            <w:r w:rsidR="006C5CC9" w:rsidRPr="006D3B28">
              <w:rPr>
                <w:sz w:val="20"/>
                <w:szCs w:val="20"/>
                <w:lang w:val="en-GB"/>
              </w:rPr>
              <w:t xml:space="preserve"> (bail matters)</w:t>
            </w:r>
            <w:r w:rsidRPr="006D3B28">
              <w:rPr>
                <w:sz w:val="20"/>
                <w:szCs w:val="20"/>
                <w:lang w:val="en-GB"/>
              </w:rPr>
              <w:t>; 278 women leaders trained on SGBV laws to support victims.</w:t>
            </w:r>
          </w:p>
        </w:tc>
        <w:tc>
          <w:tcPr>
            <w:tcW w:w="1666" w:type="pct"/>
          </w:tcPr>
          <w:p w14:paraId="44EEEC00" w14:textId="77777777" w:rsidR="00F82264" w:rsidRPr="006D3B28" w:rsidRDefault="00F82264" w:rsidP="00D82F19">
            <w:pPr>
              <w:rPr>
                <w:sz w:val="20"/>
                <w:szCs w:val="20"/>
                <w:lang w:val="en-GB"/>
              </w:rPr>
            </w:pPr>
            <w:r w:rsidRPr="006D3B28">
              <w:rPr>
                <w:sz w:val="20"/>
                <w:szCs w:val="20"/>
                <w:lang w:val="en-GB"/>
              </w:rPr>
              <w:t>Reflects the EU’s commitment to protecting human rights and equipping local actors to advocate for and assist victims effectively.</w:t>
            </w:r>
          </w:p>
        </w:tc>
      </w:tr>
      <w:tr w:rsidR="00F82264" w:rsidRPr="007A5C5F" w14:paraId="4F773CE6" w14:textId="77777777" w:rsidTr="005A53EE">
        <w:trPr>
          <w:cnfStyle w:val="000000100000" w:firstRow="0" w:lastRow="0" w:firstColumn="0" w:lastColumn="0" w:oddVBand="0" w:evenVBand="0" w:oddHBand="1" w:evenHBand="0" w:firstRowFirstColumn="0" w:firstRowLastColumn="0" w:lastRowFirstColumn="0" w:lastRowLastColumn="0"/>
        </w:trPr>
        <w:tc>
          <w:tcPr>
            <w:tcW w:w="1667" w:type="pct"/>
          </w:tcPr>
          <w:p w14:paraId="6FB8C113" w14:textId="77777777" w:rsidR="00F82264" w:rsidRPr="006D3B28" w:rsidRDefault="00F82264" w:rsidP="00D82F19">
            <w:pPr>
              <w:rPr>
                <w:sz w:val="20"/>
                <w:szCs w:val="20"/>
                <w:lang w:val="en-GB"/>
              </w:rPr>
            </w:pPr>
            <w:r w:rsidRPr="006D3B28">
              <w:rPr>
                <w:sz w:val="20"/>
                <w:szCs w:val="20"/>
                <w:lang w:val="en-GB"/>
              </w:rPr>
              <w:t>GERF 2.37: Number of people benefiting from EU-funded interventions to counter sexual and gender-based violence</w:t>
            </w:r>
          </w:p>
        </w:tc>
        <w:tc>
          <w:tcPr>
            <w:tcW w:w="1667" w:type="pct"/>
          </w:tcPr>
          <w:p w14:paraId="1DD3F37C" w14:textId="40323F1E" w:rsidR="00F82264" w:rsidRPr="006D3B28" w:rsidRDefault="00F82264" w:rsidP="00D82F19">
            <w:pPr>
              <w:rPr>
                <w:sz w:val="20"/>
                <w:szCs w:val="20"/>
                <w:lang w:val="en-GB"/>
              </w:rPr>
            </w:pPr>
            <w:r w:rsidRPr="006D3B28">
              <w:rPr>
                <w:sz w:val="20"/>
                <w:szCs w:val="20"/>
                <w:lang w:val="en-GB"/>
              </w:rPr>
              <w:t xml:space="preserve">4,888 women participated in SGBV workshops (2,893 in 2023, 1,995 in 2024); 120 family </w:t>
            </w:r>
            <w:r w:rsidR="007A5C5F" w:rsidRPr="006D3B28">
              <w:rPr>
                <w:sz w:val="20"/>
                <w:szCs w:val="20"/>
                <w:lang w:val="en-GB"/>
              </w:rPr>
              <w:t>counsellors</w:t>
            </w:r>
            <w:r w:rsidRPr="006D3B28">
              <w:rPr>
                <w:sz w:val="20"/>
                <w:szCs w:val="20"/>
                <w:lang w:val="en-GB"/>
              </w:rPr>
              <w:t xml:space="preserve"> trained to address domestic violence.</w:t>
            </w:r>
          </w:p>
        </w:tc>
        <w:tc>
          <w:tcPr>
            <w:tcW w:w="1666" w:type="pct"/>
          </w:tcPr>
          <w:p w14:paraId="6730A001" w14:textId="77777777" w:rsidR="00F82264" w:rsidRPr="006D3B28" w:rsidRDefault="00F82264" w:rsidP="00D82F19">
            <w:pPr>
              <w:rPr>
                <w:sz w:val="20"/>
                <w:szCs w:val="20"/>
                <w:lang w:val="en-GB"/>
              </w:rPr>
            </w:pPr>
            <w:r w:rsidRPr="006D3B28">
              <w:rPr>
                <w:sz w:val="20"/>
                <w:szCs w:val="20"/>
                <w:lang w:val="en-GB"/>
              </w:rPr>
              <w:t>Demonstrates the EU’s strategic focus on combating GBV through training, awareness, and infrastructure upgrades to ensure long-term systemic change.</w:t>
            </w:r>
          </w:p>
        </w:tc>
      </w:tr>
      <w:tr w:rsidR="00F82264" w:rsidRPr="007A5C5F" w14:paraId="59ACBB7A" w14:textId="77777777" w:rsidTr="005A53EE">
        <w:tc>
          <w:tcPr>
            <w:tcW w:w="1667" w:type="pct"/>
          </w:tcPr>
          <w:p w14:paraId="2C682B08" w14:textId="77777777" w:rsidR="00F82264" w:rsidRPr="006D3B28" w:rsidRDefault="00F82264" w:rsidP="00D82F19">
            <w:pPr>
              <w:rPr>
                <w:sz w:val="20"/>
                <w:szCs w:val="20"/>
                <w:lang w:val="en-GB"/>
              </w:rPr>
            </w:pPr>
            <w:r w:rsidRPr="006D3B28">
              <w:rPr>
                <w:sz w:val="20"/>
                <w:szCs w:val="20"/>
                <w:lang w:val="en-GB"/>
              </w:rPr>
              <w:t>GERF 2.39: Number of people directly benefiting from EU-supported interventions that aim to reduce social and economic inequality</w:t>
            </w:r>
          </w:p>
        </w:tc>
        <w:tc>
          <w:tcPr>
            <w:tcW w:w="1667" w:type="pct"/>
          </w:tcPr>
          <w:p w14:paraId="3347A5D4" w14:textId="77777777" w:rsidR="00F82264" w:rsidRPr="006D3B28" w:rsidRDefault="00F82264" w:rsidP="00D82F19">
            <w:pPr>
              <w:rPr>
                <w:sz w:val="20"/>
                <w:szCs w:val="20"/>
                <w:lang w:val="en-GB"/>
              </w:rPr>
            </w:pPr>
            <w:r w:rsidRPr="006D3B28">
              <w:rPr>
                <w:sz w:val="20"/>
                <w:szCs w:val="20"/>
                <w:lang w:val="en-GB"/>
              </w:rPr>
              <w:t>Economic empowerment initiative supported single mothers with livelihood tools, enabling financial stability and maintaining children’s education.</w:t>
            </w:r>
          </w:p>
        </w:tc>
        <w:tc>
          <w:tcPr>
            <w:tcW w:w="1666" w:type="pct"/>
          </w:tcPr>
          <w:p w14:paraId="5EB17A46" w14:textId="77777777" w:rsidR="00F82264" w:rsidRPr="006D3B28" w:rsidRDefault="00F82264" w:rsidP="00D82F19">
            <w:pPr>
              <w:rPr>
                <w:sz w:val="20"/>
                <w:szCs w:val="20"/>
                <w:lang w:val="en-GB"/>
              </w:rPr>
            </w:pPr>
            <w:r w:rsidRPr="006D3B28">
              <w:rPr>
                <w:sz w:val="20"/>
                <w:szCs w:val="20"/>
                <w:lang w:val="en-GB"/>
              </w:rPr>
              <w:t>Reflects the EU’s focus on reducing inequalities by supporting vulnerable populations with targeted, practical interventions that address root causes of social and economic disparities.</w:t>
            </w:r>
          </w:p>
        </w:tc>
      </w:tr>
    </w:tbl>
    <w:p w14:paraId="10AA1A62" w14:textId="77777777" w:rsidR="005A53EE" w:rsidRPr="007A5C5F" w:rsidRDefault="005A53EE" w:rsidP="005A53EE">
      <w:pPr>
        <w:pStyle w:val="ListParagraph"/>
        <w:numPr>
          <w:ilvl w:val="0"/>
          <w:numId w:val="0"/>
        </w:numPr>
        <w:spacing w:after="0"/>
        <w:ind w:left="720"/>
        <w:jc w:val="both"/>
        <w:rPr>
          <w:rFonts w:eastAsia="SimSun"/>
          <w:color w:val="000000" w:themeColor="text1"/>
          <w:sz w:val="22"/>
          <w:szCs w:val="22"/>
          <w:lang w:val="en-GB" w:eastAsia="zh-CN"/>
        </w:rPr>
      </w:pPr>
    </w:p>
    <w:p w14:paraId="7568C392" w14:textId="07D01916" w:rsidR="005A53EE" w:rsidRPr="007A5C5F" w:rsidRDefault="005A53EE" w:rsidP="005A53EE">
      <w:pPr>
        <w:pStyle w:val="Heading1"/>
        <w:jc w:val="center"/>
        <w:rPr>
          <w:rFonts w:ascii="Times New Roman" w:hAnsi="Times New Roman" w:cs="Times New Roman"/>
          <w:lang w:val="en-GB"/>
        </w:rPr>
      </w:pPr>
      <w:bookmarkStart w:id="27" w:name="_Toc188348266"/>
      <w:r w:rsidRPr="007A5C5F">
        <w:rPr>
          <w:rFonts w:ascii="Times New Roman" w:hAnsi="Times New Roman" w:cs="Times New Roman"/>
          <w:lang w:val="en-GB"/>
        </w:rPr>
        <w:lastRenderedPageBreak/>
        <w:t xml:space="preserve">List of </w:t>
      </w:r>
      <w:r w:rsidR="00CA331C">
        <w:rPr>
          <w:rFonts w:ascii="Times New Roman" w:hAnsi="Times New Roman" w:cs="Times New Roman"/>
          <w:lang w:val="en-GB"/>
        </w:rPr>
        <w:t xml:space="preserve">summarised key </w:t>
      </w:r>
      <w:r w:rsidRPr="007A5C5F">
        <w:rPr>
          <w:rFonts w:ascii="Times New Roman" w:hAnsi="Times New Roman" w:cs="Times New Roman"/>
          <w:lang w:val="en-GB"/>
        </w:rPr>
        <w:t>Findings</w:t>
      </w:r>
      <w:bookmarkEnd w:id="27"/>
    </w:p>
    <w:p w14:paraId="5266BE05" w14:textId="77777777" w:rsidR="005A53EE" w:rsidRPr="00C900FD" w:rsidRDefault="005A53EE" w:rsidP="00C900FD">
      <w:pPr>
        <w:jc w:val="both"/>
        <w:rPr>
          <w:rFonts w:eastAsia="SimSun"/>
          <w:color w:val="000000" w:themeColor="text1"/>
          <w:sz w:val="22"/>
          <w:szCs w:val="22"/>
          <w:lang w:val="en-GB" w:eastAsia="zh-CN"/>
        </w:rPr>
      </w:pPr>
    </w:p>
    <w:p w14:paraId="723313FF"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1: Relevance to National and Global Priorities.</w:t>
      </w:r>
      <w:r w:rsidRPr="00253ADE">
        <w:rPr>
          <w:b/>
          <w:bCs/>
          <w:color w:val="538135" w:themeColor="accent6" w:themeShade="BF"/>
          <w:sz w:val="22"/>
          <w:szCs w:val="22"/>
          <w:lang w:val="en-GB"/>
        </w:rPr>
        <w:t xml:space="preserve"> </w:t>
      </w:r>
      <w:r w:rsidRPr="00253ADE">
        <w:rPr>
          <w:sz w:val="22"/>
          <w:szCs w:val="22"/>
          <w:lang w:val="en-GB"/>
        </w:rPr>
        <w:t>JURE’s comprehensive focus on legal empowerment, capacity building, and institutional reforms ensures its alignment with national and global development priorities. Its integration of SDG 16.3 and the New European Consensus on Development (2017) reflects a strong commitment to equitable, transparent, and effective justice systems.</w:t>
      </w:r>
    </w:p>
    <w:p w14:paraId="2C93075D"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1F8E39A7"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2: Design Limitations and Systemic Challenges.</w:t>
      </w:r>
      <w:r w:rsidRPr="00253ADE">
        <w:rPr>
          <w:b/>
          <w:bCs/>
          <w:color w:val="538135" w:themeColor="accent6" w:themeShade="BF"/>
          <w:sz w:val="22"/>
          <w:szCs w:val="22"/>
          <w:lang w:val="en-GB"/>
        </w:rPr>
        <w:t xml:space="preserve"> </w:t>
      </w:r>
      <w:r w:rsidRPr="00253ADE">
        <w:rPr>
          <w:sz w:val="22"/>
          <w:szCs w:val="22"/>
          <w:lang w:val="en-GB"/>
        </w:rPr>
        <w:t>While JURE has contributed significantly to the justice sector, its design exhibited certain limitations. The project did not fully address systemic inefficiencies, regional disparities, or the digital divide, which has constrained equitable access to justice. The rapid expansion from six to eleven outputs further introduced operational complexities, diluting the overall impact.</w:t>
      </w:r>
    </w:p>
    <w:p w14:paraId="2E467E5B"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616A35DC"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3: Omission of Environmental Justice Initiatives.</w:t>
      </w:r>
      <w:r w:rsidRPr="00253ADE">
        <w:rPr>
          <w:b/>
          <w:bCs/>
          <w:color w:val="538135" w:themeColor="accent6" w:themeShade="BF"/>
          <w:sz w:val="22"/>
          <w:szCs w:val="22"/>
          <w:lang w:val="en-GB"/>
        </w:rPr>
        <w:t xml:space="preserve"> </w:t>
      </w:r>
      <w:r w:rsidRPr="00253ADE">
        <w:rPr>
          <w:sz w:val="22"/>
          <w:szCs w:val="22"/>
          <w:lang w:val="en-GB"/>
        </w:rPr>
        <w:t xml:space="preserve">The LLM in Environmental Law remains a cornerstone of sustainability for JURE, fostering long-term legal expertise in environmental governance and the project successfully established South Asia’s first master’s program in Environmental and Climate Change Law. The exclusion of environmental justice initiatives from the 2024 Work Plan represents a missed opportunity, the discontinuation of certain complementary activities, such as policy research and institutional capacity-building, risks undermining this progress, particularly given the demonstrated impact of prior interventions. </w:t>
      </w:r>
    </w:p>
    <w:p w14:paraId="42A119BB"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3964E87C"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4: Internal Coherence and Synergies</w:t>
      </w:r>
      <w:r w:rsidRPr="00253ADE">
        <w:rPr>
          <w:b/>
          <w:bCs/>
          <w:color w:val="538135" w:themeColor="accent6" w:themeShade="BF"/>
          <w:sz w:val="22"/>
          <w:szCs w:val="22"/>
          <w:lang w:val="en-GB"/>
        </w:rPr>
        <w:t xml:space="preserve">. </w:t>
      </w:r>
      <w:r w:rsidRPr="00253ADE">
        <w:rPr>
          <w:sz w:val="22"/>
          <w:szCs w:val="22"/>
          <w:lang w:val="en-GB"/>
        </w:rPr>
        <w:t>JURE has demonstrated a degree of internal coherence, particularly within UNDP’s SDG 16 portfolio. However, significant potential remains to enhance this coherence by adopting a more integrated approach, leveraging synergies across thematic areas such as economic resilience, governance, and environmental justice.</w:t>
      </w:r>
    </w:p>
    <w:p w14:paraId="6F37B6CF"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0FF20566" w14:textId="4A409B93" w:rsidR="00253ADE" w:rsidRPr="007A5C5F" w:rsidRDefault="00253ADE" w:rsidP="00253ADE">
      <w:pPr>
        <w:pStyle w:val="ListParagraph"/>
        <w:numPr>
          <w:ilvl w:val="0"/>
          <w:numId w:val="266"/>
        </w:numPr>
        <w:adjustRightInd/>
        <w:snapToGrid/>
        <w:spacing w:after="0"/>
        <w:jc w:val="both"/>
        <w:rPr>
          <w:rFonts w:eastAsiaTheme="minorEastAsia"/>
          <w:sz w:val="22"/>
          <w:szCs w:val="22"/>
          <w:lang w:val="en-GB"/>
        </w:rPr>
      </w:pPr>
      <w:r w:rsidRPr="00253ADE">
        <w:rPr>
          <w:b/>
          <w:bCs/>
          <w:i/>
          <w:iCs/>
          <w:color w:val="538135" w:themeColor="accent6" w:themeShade="BF"/>
          <w:sz w:val="22"/>
          <w:szCs w:val="22"/>
          <w:lang w:val="en-GB"/>
        </w:rPr>
        <w:t>Finding 5: Fragmentation in External Coordination.</w:t>
      </w:r>
      <w:r w:rsidRPr="00253ADE">
        <w:rPr>
          <w:b/>
          <w:bCs/>
          <w:color w:val="538135" w:themeColor="accent6" w:themeShade="BF"/>
          <w:sz w:val="22"/>
          <w:szCs w:val="22"/>
          <w:lang w:val="en-GB"/>
        </w:rPr>
        <w:t xml:space="preserve"> </w:t>
      </w:r>
      <w:r w:rsidRPr="007A5C5F">
        <w:rPr>
          <w:sz w:val="22"/>
          <w:szCs w:val="22"/>
          <w:lang w:val="en-GB"/>
        </w:rPr>
        <w:t xml:space="preserve">The JURE Project operates in a highly competitive and crowded development environment where multiple donors, such as USAID, EU, KOICA, JICA, and </w:t>
      </w:r>
      <w:r w:rsidR="007D2C89">
        <w:rPr>
          <w:sz w:val="22"/>
          <w:szCs w:val="22"/>
          <w:lang w:val="en-GB"/>
        </w:rPr>
        <w:t xml:space="preserve">organisation like </w:t>
      </w:r>
      <w:r w:rsidRPr="007A5C5F">
        <w:rPr>
          <w:sz w:val="22"/>
          <w:szCs w:val="22"/>
          <w:lang w:val="en-GB"/>
        </w:rPr>
        <w:t>UNODC, support overlapping themes, including virtual trials, forensic analysis capacity building, anti-corruption measures, commercial dispute resolution, and the modernization and strengthening of justice sector mechanisms. These efforts collectively focus on enhancing access to justice and improving the efficiency of legal and judicial processes. The crowded donor landscape presents opportunities for synergy and collaboration but also risks duplication of efforts if coordination mechanisms are not effectively utilized.</w:t>
      </w:r>
    </w:p>
    <w:p w14:paraId="3EAF524A" w14:textId="77777777" w:rsidR="00253ADE" w:rsidRPr="00C900FD" w:rsidRDefault="00253ADE" w:rsidP="00D24919">
      <w:pPr>
        <w:pStyle w:val="ListParagraph"/>
        <w:numPr>
          <w:ilvl w:val="0"/>
          <w:numId w:val="0"/>
        </w:numPr>
        <w:ind w:left="720"/>
        <w:jc w:val="both"/>
        <w:rPr>
          <w:b/>
          <w:bCs/>
          <w:color w:val="538135" w:themeColor="accent6" w:themeShade="BF"/>
          <w:sz w:val="22"/>
          <w:szCs w:val="22"/>
          <w:lang w:val="en-GB"/>
        </w:rPr>
      </w:pPr>
    </w:p>
    <w:p w14:paraId="66F4B5B3"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6: Financial Management and Efficien</w:t>
      </w:r>
      <w:r w:rsidRPr="00253ADE">
        <w:rPr>
          <w:b/>
          <w:bCs/>
          <w:color w:val="538135" w:themeColor="accent6" w:themeShade="BF"/>
          <w:sz w:val="22"/>
          <w:szCs w:val="22"/>
          <w:lang w:val="en-GB"/>
        </w:rPr>
        <w:t xml:space="preserve">cy. </w:t>
      </w:r>
      <w:r w:rsidRPr="00253ADE">
        <w:rPr>
          <w:sz w:val="22"/>
          <w:szCs w:val="22"/>
          <w:lang w:val="en-GB"/>
        </w:rPr>
        <w:t xml:space="preserve">Despite notable progress, JURE has faced challenges in financial management, particularly in fund disbursement delays and disparities in expenditure rates. As of June 2024, </w:t>
      </w:r>
      <w:r w:rsidRPr="00253ADE">
        <w:rPr>
          <w:sz w:val="22"/>
          <w:szCs w:val="22"/>
        </w:rPr>
        <w:t xml:space="preserve">the actual expenditure amounts to </w:t>
      </w:r>
      <w:r w:rsidRPr="00253ADE">
        <w:rPr>
          <w:b/>
          <w:bCs/>
          <w:sz w:val="22"/>
          <w:szCs w:val="22"/>
        </w:rPr>
        <w:t>5,833,772.01</w:t>
      </w:r>
      <w:r w:rsidRPr="00253ADE">
        <w:rPr>
          <w:sz w:val="22"/>
          <w:szCs w:val="22"/>
        </w:rPr>
        <w:t xml:space="preserve">, and with a total received amount of </w:t>
      </w:r>
      <w:r w:rsidRPr="00253ADE">
        <w:rPr>
          <w:b/>
          <w:bCs/>
          <w:sz w:val="22"/>
          <w:szCs w:val="22"/>
        </w:rPr>
        <w:t>7,148,771</w:t>
      </w:r>
      <w:r w:rsidRPr="00253ADE">
        <w:rPr>
          <w:sz w:val="22"/>
          <w:szCs w:val="22"/>
        </w:rPr>
        <w:t xml:space="preserve">, the disbursement rate is </w:t>
      </w:r>
      <w:r w:rsidRPr="00253ADE">
        <w:rPr>
          <w:b/>
          <w:bCs/>
          <w:sz w:val="22"/>
          <w:szCs w:val="22"/>
        </w:rPr>
        <w:t>82%</w:t>
      </w:r>
      <w:r w:rsidRPr="00253ADE">
        <w:rPr>
          <w:sz w:val="22"/>
          <w:szCs w:val="22"/>
        </w:rPr>
        <w:t xml:space="preserve">. </w:t>
      </w:r>
    </w:p>
    <w:p w14:paraId="54EB858B"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6A6F0673"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7: Adaptive Management and Response to ROM Recommendations.</w:t>
      </w:r>
      <w:r w:rsidRPr="00253ADE">
        <w:rPr>
          <w:b/>
          <w:bCs/>
          <w:color w:val="538135" w:themeColor="accent6" w:themeShade="BF"/>
          <w:sz w:val="22"/>
          <w:szCs w:val="22"/>
          <w:lang w:val="en-GB"/>
        </w:rPr>
        <w:t xml:space="preserve"> </w:t>
      </w:r>
      <w:r w:rsidRPr="00253ADE">
        <w:rPr>
          <w:sz w:val="22"/>
          <w:szCs w:val="22"/>
          <w:lang w:val="en-GB"/>
        </w:rPr>
        <w:t>JURE has shown strong adaptive management by incorporating key recommendations from the Result-Oriented Monitoring (ROM) mission into its implementation strategy. This reflects a commitment to continual learning and course correction.</w:t>
      </w:r>
    </w:p>
    <w:p w14:paraId="40576BA1"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74C8D102"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8: Strengthening Monitoring and Evaluation.</w:t>
      </w:r>
      <w:r w:rsidRPr="00253ADE">
        <w:rPr>
          <w:b/>
          <w:bCs/>
          <w:color w:val="538135" w:themeColor="accent6" w:themeShade="BF"/>
          <w:sz w:val="22"/>
          <w:szCs w:val="22"/>
          <w:lang w:val="en-GB"/>
        </w:rPr>
        <w:t xml:space="preserve"> </w:t>
      </w:r>
      <w:r w:rsidRPr="00253ADE">
        <w:rPr>
          <w:sz w:val="22"/>
          <w:szCs w:val="22"/>
          <w:lang w:val="en-GB"/>
        </w:rPr>
        <w:t>The JURE progress monitoring system provides a strong foundation but requires enhancements, including a more comprehensive data collection mechanism, complete Logframe baselines, and calibrated indicators for results-oriented monitoring.</w:t>
      </w:r>
    </w:p>
    <w:p w14:paraId="57072B8B"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491E4A0A" w14:textId="77777777" w:rsidR="00253ADE" w:rsidRPr="00253ADE" w:rsidRDefault="00253ADE" w:rsidP="00253ADE">
      <w:pPr>
        <w:pStyle w:val="ListParagraph"/>
        <w:numPr>
          <w:ilvl w:val="0"/>
          <w:numId w:val="266"/>
        </w:numPr>
        <w:jc w:val="both"/>
        <w:rPr>
          <w:b/>
          <w:bCs/>
          <w:color w:val="538135" w:themeColor="accent6" w:themeShade="BF"/>
          <w:sz w:val="22"/>
          <w:szCs w:val="22"/>
          <w:lang w:val="en-GB"/>
        </w:rPr>
      </w:pPr>
      <w:r w:rsidRPr="00253ADE">
        <w:rPr>
          <w:b/>
          <w:bCs/>
          <w:i/>
          <w:iCs/>
          <w:color w:val="538135" w:themeColor="accent6" w:themeShade="BF"/>
          <w:sz w:val="22"/>
          <w:szCs w:val="22"/>
          <w:lang w:val="en-GB"/>
        </w:rPr>
        <w:t>Finding 9: Impact on Juvenile Justice and Child Protection</w:t>
      </w:r>
      <w:r w:rsidRPr="00253ADE">
        <w:rPr>
          <w:b/>
          <w:bCs/>
          <w:color w:val="538135" w:themeColor="accent6" w:themeShade="BF"/>
          <w:sz w:val="22"/>
          <w:szCs w:val="22"/>
          <w:lang w:val="en-GB"/>
        </w:rPr>
        <w:t xml:space="preserve">. </w:t>
      </w:r>
      <w:r w:rsidRPr="00253ADE">
        <w:rPr>
          <w:sz w:val="22"/>
          <w:szCs w:val="22"/>
          <w:lang w:val="en-GB"/>
        </w:rPr>
        <w:t xml:space="preserve">JURE has played a pivotal role in advancing child-related reforms by strengthening legal      protections, improving justice system coordination, and enhancing rehabilitation pathways. A key achievement is the legal reform, which raised the minimum age of imprisonment, ensuring minors are no longer placed in adult prisons but instead housed in institutions under the Department of Probation and Childcare Services. Improved data systems facilitated the development of standardized case management tools and strengthened decision-making processes in child justice. Beyond legal reforms, JURE has focused on preventing institutionalization and promoting family reunification for child victims of violence, children in conflict with the law, and those in need of care and protection. </w:t>
      </w:r>
    </w:p>
    <w:p w14:paraId="2A0B339B" w14:textId="77777777" w:rsidR="00253ADE" w:rsidRPr="00253ADE" w:rsidRDefault="00253ADE" w:rsidP="00D24919">
      <w:pPr>
        <w:pStyle w:val="ListParagraph"/>
        <w:numPr>
          <w:ilvl w:val="0"/>
          <w:numId w:val="0"/>
        </w:numPr>
        <w:ind w:left="720"/>
        <w:jc w:val="both"/>
        <w:rPr>
          <w:b/>
          <w:bCs/>
          <w:i/>
          <w:iCs/>
          <w:color w:val="538135" w:themeColor="accent6" w:themeShade="BF"/>
          <w:sz w:val="22"/>
          <w:szCs w:val="22"/>
          <w:lang w:val="en-GB"/>
        </w:rPr>
      </w:pPr>
    </w:p>
    <w:p w14:paraId="0AC79036" w14:textId="77777777" w:rsidR="00253ADE" w:rsidRPr="00253ADE" w:rsidRDefault="00253ADE" w:rsidP="00253ADE">
      <w:pPr>
        <w:pStyle w:val="ListParagraph"/>
        <w:numPr>
          <w:ilvl w:val="0"/>
          <w:numId w:val="266"/>
        </w:numPr>
        <w:jc w:val="both"/>
        <w:rPr>
          <w:sz w:val="22"/>
          <w:szCs w:val="22"/>
        </w:rPr>
      </w:pPr>
      <w:r w:rsidRPr="00253ADE">
        <w:rPr>
          <w:b/>
          <w:bCs/>
          <w:i/>
          <w:iCs/>
          <w:color w:val="538135" w:themeColor="accent6" w:themeShade="BF"/>
          <w:sz w:val="22"/>
          <w:szCs w:val="22"/>
          <w:lang w:val="en-GB"/>
        </w:rPr>
        <w:t>Finding 10: Contribution to Systemic Justice Reforms</w:t>
      </w:r>
      <w:r w:rsidRPr="00253ADE">
        <w:rPr>
          <w:b/>
          <w:bCs/>
          <w:color w:val="538135" w:themeColor="accent6" w:themeShade="BF"/>
          <w:sz w:val="22"/>
          <w:szCs w:val="22"/>
          <w:lang w:val="en-GB"/>
        </w:rPr>
        <w:t xml:space="preserve">. </w:t>
      </w:r>
      <w:r w:rsidRPr="00253ADE">
        <w:rPr>
          <w:sz w:val="22"/>
          <w:szCs w:val="22"/>
          <w:lang w:val="en-GB"/>
        </w:rPr>
        <w:t>From January to July 2024, JURE played a crucial role in fostering systemic reforms, modernizing justice institutions, and strengthening institutional capacity to implement these changes effectively.</w:t>
      </w:r>
      <w:r w:rsidRPr="00253ADE">
        <w:rPr>
          <w:i/>
          <w:iCs/>
        </w:rPr>
        <w:t xml:space="preserve"> </w:t>
      </w:r>
      <w:r w:rsidRPr="00253ADE">
        <w:rPr>
          <w:sz w:val="22"/>
          <w:szCs w:val="22"/>
        </w:rPr>
        <w:t>CIABOC reports this period as particularly fruitful, highlighting that legislative reforms have expanded the scope of accountability by addressing corruption within the private sector alongside public institutions, growing public trust in CIABOC’s anti-corruption mechanisms, improved complaint-handling processes and targeted awareness campaigns, encouraging greater citizen engagement in combating corruption.</w:t>
      </w:r>
    </w:p>
    <w:p w14:paraId="24F4255C" w14:textId="77777777" w:rsidR="00253ADE" w:rsidRPr="00253ADE" w:rsidRDefault="00253ADE" w:rsidP="00D24919">
      <w:pPr>
        <w:pStyle w:val="ListParagraph"/>
        <w:numPr>
          <w:ilvl w:val="0"/>
          <w:numId w:val="0"/>
        </w:numPr>
        <w:ind w:left="720"/>
        <w:jc w:val="both"/>
        <w:rPr>
          <w:b/>
          <w:bCs/>
          <w:sz w:val="22"/>
          <w:szCs w:val="22"/>
          <w:lang w:val="en-GB"/>
        </w:rPr>
      </w:pPr>
    </w:p>
    <w:p w14:paraId="454A07AC"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11: Gender Mainstreaming and Structural Barriers.</w:t>
      </w:r>
      <w:r w:rsidRPr="00253ADE">
        <w:rPr>
          <w:b/>
          <w:bCs/>
          <w:color w:val="538135" w:themeColor="accent6" w:themeShade="BF"/>
          <w:sz w:val="22"/>
          <w:szCs w:val="22"/>
          <w:lang w:val="en-GB"/>
        </w:rPr>
        <w:t xml:space="preserve"> </w:t>
      </w:r>
      <w:r w:rsidRPr="00253ADE">
        <w:rPr>
          <w:sz w:val="22"/>
          <w:szCs w:val="22"/>
          <w:lang w:val="en-GB"/>
        </w:rPr>
        <w:t>The JURE Gender Action Plan reflects strong progress in gender-sensitive justice reforms, transitioning from initial assessments in 2023 to partial implementation in 2024. However, more efforts are required to address institutional biases, cultural norms, and systemic barriers.</w:t>
      </w:r>
    </w:p>
    <w:p w14:paraId="441535BD"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7CBB6ED8"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 xml:space="preserve">Finding 12: Limitations in the 2024 Work Plan. </w:t>
      </w:r>
      <w:r w:rsidRPr="00253ADE">
        <w:rPr>
          <w:sz w:val="22"/>
          <w:szCs w:val="22"/>
          <w:lang w:val="en-GB"/>
        </w:rPr>
        <w:t>The 2024 Work Plan places heavy emphasis on capacity-building without sufficiently addressing structural challenges or ensuring robust accountability mechanisms within justice institutions.</w:t>
      </w:r>
    </w:p>
    <w:p w14:paraId="3D9856D8"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18487869"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13: Gender-Responsive and People-Centred Indicators.</w:t>
      </w:r>
      <w:r w:rsidRPr="00253ADE">
        <w:rPr>
          <w:b/>
          <w:bCs/>
          <w:color w:val="538135" w:themeColor="accent6" w:themeShade="BF"/>
          <w:sz w:val="22"/>
          <w:szCs w:val="22"/>
          <w:lang w:val="en-GB"/>
        </w:rPr>
        <w:t xml:space="preserve"> </w:t>
      </w:r>
      <w:r w:rsidRPr="00253ADE">
        <w:rPr>
          <w:sz w:val="22"/>
          <w:szCs w:val="22"/>
          <w:lang w:val="en-GB"/>
        </w:rPr>
        <w:t>JURE lacks comprehensive gender-responsive indicators, limiting its ability to measure transformative justice outcomes such as restored property rights and access to justice for marginalized communities. Despite JURE’s efforts to advance disability rights, systematic data collection on persons with disabilities remains inadequate. The absence of structured tracking mechanisms hinders the ability to measure the impact of interventions in this regard.</w:t>
      </w:r>
    </w:p>
    <w:p w14:paraId="2F4002C0"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45B658D7"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14: EU’s Strategic Investment and Impact.</w:t>
      </w:r>
      <w:r w:rsidRPr="00253ADE">
        <w:rPr>
          <w:b/>
          <w:bCs/>
          <w:color w:val="538135" w:themeColor="accent6" w:themeShade="BF"/>
          <w:sz w:val="22"/>
          <w:szCs w:val="22"/>
          <w:lang w:val="en-GB"/>
        </w:rPr>
        <w:t xml:space="preserve"> </w:t>
      </w:r>
      <w:r w:rsidRPr="00253ADE">
        <w:rPr>
          <w:sz w:val="22"/>
          <w:szCs w:val="22"/>
          <w:lang w:val="en-GB"/>
        </w:rPr>
        <w:t xml:space="preserve">The EU’s support for JURE has been instrumental in advancing justice sector reforms. Large-scale investments have contributed to institutional strengthening, policy reforms, and capacity-building for legal professionals. While JURE has contributed to legal education through its two LLM programmes, expanding academic partnerships with European institutions would further strengthen the credibility and sustainability of legal training initiatives. </w:t>
      </w:r>
      <w:r w:rsidRPr="00253ADE">
        <w:rPr>
          <w:sz w:val="22"/>
          <w:szCs w:val="22"/>
        </w:rPr>
        <w:t xml:space="preserve">Greater integration of </w:t>
      </w:r>
      <w:r w:rsidRPr="00253ADE">
        <w:rPr>
          <w:b/>
          <w:bCs/>
          <w:sz w:val="22"/>
          <w:szCs w:val="22"/>
        </w:rPr>
        <w:t>proven European best practices</w:t>
      </w:r>
      <w:r w:rsidRPr="00253ADE">
        <w:rPr>
          <w:sz w:val="22"/>
          <w:szCs w:val="22"/>
        </w:rPr>
        <w:t xml:space="preserve"> in </w:t>
      </w:r>
      <w:r w:rsidRPr="00253ADE">
        <w:rPr>
          <w:b/>
          <w:bCs/>
          <w:sz w:val="22"/>
          <w:szCs w:val="22"/>
        </w:rPr>
        <w:t>judicial efficiency, case management, and monitoring</w:t>
      </w:r>
      <w:r w:rsidRPr="00253ADE">
        <w:rPr>
          <w:sz w:val="22"/>
          <w:szCs w:val="22"/>
        </w:rPr>
        <w:t xml:space="preserve"> could have strengthened the project’s impact. Closer alignment with </w:t>
      </w:r>
      <w:r w:rsidRPr="00253ADE">
        <w:rPr>
          <w:b/>
          <w:bCs/>
          <w:sz w:val="22"/>
          <w:szCs w:val="22"/>
        </w:rPr>
        <w:t>EU standards</w:t>
      </w:r>
      <w:r w:rsidRPr="00253ADE">
        <w:rPr>
          <w:sz w:val="22"/>
          <w:szCs w:val="22"/>
        </w:rPr>
        <w:t xml:space="preserve"> would not only enhance </w:t>
      </w:r>
      <w:r w:rsidRPr="00253ADE">
        <w:rPr>
          <w:b/>
          <w:bCs/>
          <w:sz w:val="22"/>
          <w:szCs w:val="22"/>
        </w:rPr>
        <w:t>donor visibility</w:t>
      </w:r>
      <w:r w:rsidRPr="00253ADE">
        <w:rPr>
          <w:sz w:val="22"/>
          <w:szCs w:val="22"/>
        </w:rPr>
        <w:t xml:space="preserve"> but also promote </w:t>
      </w:r>
      <w:r w:rsidRPr="00253ADE">
        <w:rPr>
          <w:b/>
          <w:bCs/>
          <w:sz w:val="22"/>
          <w:szCs w:val="22"/>
        </w:rPr>
        <w:t>institutional sustainability</w:t>
      </w:r>
      <w:r w:rsidRPr="00253ADE">
        <w:rPr>
          <w:sz w:val="22"/>
          <w:szCs w:val="22"/>
        </w:rPr>
        <w:t xml:space="preserve"> by fostering long-term cooperation between </w:t>
      </w:r>
      <w:r w:rsidRPr="00253ADE">
        <w:rPr>
          <w:b/>
          <w:bCs/>
          <w:sz w:val="22"/>
          <w:szCs w:val="22"/>
        </w:rPr>
        <w:t>Sri Lankan institutions and EU Member States</w:t>
      </w:r>
      <w:r w:rsidRPr="00253ADE">
        <w:rPr>
          <w:sz w:val="22"/>
          <w:szCs w:val="22"/>
        </w:rPr>
        <w:t>.</w:t>
      </w:r>
    </w:p>
    <w:p w14:paraId="7F7B08D1" w14:textId="77777777" w:rsidR="00253ADE" w:rsidRPr="00253ADE" w:rsidRDefault="00253ADE" w:rsidP="00D24919">
      <w:pPr>
        <w:pStyle w:val="ListParagraph"/>
        <w:numPr>
          <w:ilvl w:val="0"/>
          <w:numId w:val="0"/>
        </w:numPr>
        <w:ind w:left="720"/>
        <w:jc w:val="both"/>
        <w:rPr>
          <w:b/>
          <w:bCs/>
          <w:color w:val="538135" w:themeColor="accent6" w:themeShade="BF"/>
          <w:sz w:val="22"/>
          <w:szCs w:val="22"/>
          <w:lang w:val="en-GB"/>
        </w:rPr>
      </w:pPr>
    </w:p>
    <w:p w14:paraId="2E0E3C87" w14:textId="77777777" w:rsidR="00253ADE" w:rsidRPr="00253ADE" w:rsidRDefault="00253ADE" w:rsidP="00253ADE">
      <w:pPr>
        <w:pStyle w:val="ListParagraph"/>
        <w:numPr>
          <w:ilvl w:val="0"/>
          <w:numId w:val="266"/>
        </w:numPr>
        <w:jc w:val="both"/>
        <w:rPr>
          <w:sz w:val="22"/>
          <w:szCs w:val="22"/>
          <w:lang w:val="en-GB"/>
        </w:rPr>
      </w:pPr>
      <w:r w:rsidRPr="00253ADE">
        <w:rPr>
          <w:b/>
          <w:bCs/>
          <w:i/>
          <w:iCs/>
          <w:color w:val="538135" w:themeColor="accent6" w:themeShade="BF"/>
          <w:sz w:val="22"/>
          <w:szCs w:val="22"/>
          <w:lang w:val="en-GB"/>
        </w:rPr>
        <w:t>Finding 15: Gaps in Justice Reform Sustainability Measures</w:t>
      </w:r>
      <w:r w:rsidRPr="00253ADE">
        <w:rPr>
          <w:b/>
          <w:bCs/>
          <w:color w:val="538135" w:themeColor="accent6" w:themeShade="BF"/>
          <w:sz w:val="22"/>
          <w:szCs w:val="22"/>
          <w:lang w:val="en-GB"/>
        </w:rPr>
        <w:t xml:space="preserve">. </w:t>
      </w:r>
      <w:r w:rsidRPr="00253ADE">
        <w:rPr>
          <w:sz w:val="22"/>
          <w:szCs w:val="22"/>
          <w:lang w:val="en-GB"/>
        </w:rPr>
        <w:t>JURE has successfully laid the groundwork for justice reforms, but a more structured exit strategy, including government buy-in and financial commitments, is required to ensure sustainability beyond the project’s duration.</w:t>
      </w:r>
    </w:p>
    <w:p w14:paraId="64311EE1" w14:textId="77777777" w:rsidR="002D2ECD" w:rsidRPr="00E9553E" w:rsidRDefault="002D2ECD" w:rsidP="00D24919">
      <w:pPr>
        <w:pStyle w:val="ListParagraph"/>
        <w:numPr>
          <w:ilvl w:val="0"/>
          <w:numId w:val="266"/>
        </w:numPr>
        <w:rPr>
          <w:lang w:val="en-GB"/>
        </w:rPr>
        <w:sectPr w:rsidR="002D2ECD" w:rsidRPr="00E9553E" w:rsidSect="00597CD7">
          <w:pgSz w:w="11894" w:h="16834"/>
          <w:pgMar w:top="1440" w:right="1152" w:bottom="1800" w:left="1152" w:header="706" w:footer="706" w:gutter="0"/>
          <w:cols w:space="708"/>
          <w:titlePg/>
          <w:docGrid w:linePitch="360"/>
        </w:sectPr>
      </w:pPr>
    </w:p>
    <w:p w14:paraId="48AB0B3C" w14:textId="591299F0" w:rsidR="00042409" w:rsidRPr="007A5C5F" w:rsidRDefault="003724A8" w:rsidP="00F82264">
      <w:pPr>
        <w:pStyle w:val="Heading1"/>
        <w:jc w:val="center"/>
        <w:rPr>
          <w:rFonts w:ascii="Times New Roman" w:hAnsi="Times New Roman" w:cs="Times New Roman"/>
          <w:lang w:val="en-GB"/>
        </w:rPr>
      </w:pPr>
      <w:bookmarkStart w:id="28" w:name="_Toc188348267"/>
      <w:r w:rsidRPr="007A5C5F">
        <w:rPr>
          <w:rFonts w:ascii="Times New Roman" w:hAnsi="Times New Roman" w:cs="Times New Roman"/>
          <w:lang w:val="en-GB"/>
        </w:rPr>
        <w:lastRenderedPageBreak/>
        <w:t>III. CONCLUSIONS</w:t>
      </w:r>
      <w:bookmarkEnd w:id="28"/>
    </w:p>
    <w:p w14:paraId="1ECE4CE6" w14:textId="6BA23B90" w:rsidR="005D6250" w:rsidRPr="005D6250" w:rsidRDefault="005D6250" w:rsidP="005D6250">
      <w:pPr>
        <w:jc w:val="both"/>
        <w:rPr>
          <w:sz w:val="22"/>
          <w:szCs w:val="22"/>
          <w:lang w:val="en-GB"/>
        </w:rPr>
      </w:pPr>
      <w:r w:rsidRPr="005D6250">
        <w:rPr>
          <w:sz w:val="22"/>
          <w:szCs w:val="22"/>
          <w:lang w:val="en-GB"/>
        </w:rPr>
        <w:t xml:space="preserve">The evaluation of the JURE Project highlights its strengths, challenges, and opportunities for enhancing justice sector reforms in Sri Lanka. This chapter presents the key conclusions drawn from the findings, linking them to </w:t>
      </w:r>
      <w:r w:rsidR="00253ADE">
        <w:rPr>
          <w:sz w:val="22"/>
          <w:szCs w:val="22"/>
          <w:lang w:val="en-GB"/>
        </w:rPr>
        <w:t xml:space="preserve">evaluation criteria such as </w:t>
      </w:r>
      <w:r w:rsidRPr="005D6250">
        <w:rPr>
          <w:sz w:val="22"/>
          <w:szCs w:val="22"/>
          <w:lang w:val="en-GB"/>
        </w:rPr>
        <w:t>relevance, coherence, efficiency, effectiveness, impact, sustainability, human rights and gender equality, and EU-added value.</w:t>
      </w:r>
    </w:p>
    <w:p w14:paraId="53589006" w14:textId="77777777" w:rsidR="005D6250" w:rsidRPr="007A5C5F" w:rsidRDefault="005D6250" w:rsidP="003724A8">
      <w:pPr>
        <w:rPr>
          <w:lang w:val="en-GB"/>
        </w:rPr>
      </w:pPr>
    </w:p>
    <w:p w14:paraId="262C6E66" w14:textId="197658BF" w:rsidR="005D6250" w:rsidRPr="007A5C5F" w:rsidRDefault="005D6250" w:rsidP="005D6250">
      <w:pPr>
        <w:pStyle w:val="ListParagraph"/>
        <w:numPr>
          <w:ilvl w:val="0"/>
          <w:numId w:val="49"/>
        </w:numPr>
        <w:jc w:val="both"/>
        <w:rPr>
          <w:b/>
          <w:bCs/>
          <w:lang w:val="en-GB"/>
        </w:rPr>
      </w:pPr>
      <w:r w:rsidRPr="007A5C5F">
        <w:rPr>
          <w:b/>
          <w:bCs/>
          <w:lang w:val="en-GB"/>
        </w:rPr>
        <w:t xml:space="preserve">Relevance. </w:t>
      </w:r>
      <w:r w:rsidRPr="007A5C5F">
        <w:rPr>
          <w:sz w:val="22"/>
          <w:szCs w:val="22"/>
          <w:lang w:val="en-GB"/>
        </w:rPr>
        <w:t>JURE remains a highly relevant initiative, addressing fundamental justice sector gaps and aligning with national and global priorities, including SDG 16.3 and the New European Consensus on Development (2017). The JURE project’s initiatives directly contribute to the shared goals of UNDP and UNICEF by strengthening the rule of law, building institutional capacity, and creating equitable access to justice for marginalized populations. These efforts not only align with UNDP’s focus on governance and SDG 16 but also resonate with UNICEF’s commitment to protecting children and ensuring inclusive, child-friendly justice systems. Collectively, these interventions advance the broader UN mandate of sustainable development, human rights, and social equity.</w:t>
      </w:r>
    </w:p>
    <w:p w14:paraId="0E0A0197" w14:textId="2105518D" w:rsidR="005D6250" w:rsidRPr="007A5C5F" w:rsidRDefault="005D6250" w:rsidP="005D6250">
      <w:pPr>
        <w:pStyle w:val="ListParagraph"/>
        <w:numPr>
          <w:ilvl w:val="0"/>
          <w:numId w:val="49"/>
        </w:numPr>
        <w:jc w:val="both"/>
        <w:rPr>
          <w:sz w:val="22"/>
          <w:szCs w:val="22"/>
          <w:lang w:val="en-GB"/>
        </w:rPr>
      </w:pPr>
      <w:r w:rsidRPr="007A5C5F">
        <w:rPr>
          <w:sz w:val="22"/>
          <w:szCs w:val="22"/>
          <w:lang w:val="en-GB"/>
        </w:rPr>
        <w:t>The design of the JURE project was broadly relevant to the UNSDCF (2023-2027), particularly in its focus on inclusivity, accountability, and efficiency within the justice sector</w:t>
      </w:r>
      <w:r w:rsidR="00597CD7">
        <w:rPr>
          <w:sz w:val="22"/>
          <w:szCs w:val="22"/>
          <w:lang w:val="en-GB"/>
        </w:rPr>
        <w:t>.</w:t>
      </w:r>
      <w:r w:rsidRPr="005D6250">
        <w:rPr>
          <w:sz w:val="22"/>
          <w:szCs w:val="22"/>
          <w:lang w:val="en-GB"/>
        </w:rPr>
        <w:t xml:space="preserve"> Its comprehensive approach to legal empowerment, capacity-building, and institutional reform has ensured that it remains a significant contributor to the justice sector. However, despite these strengths, several gaps persist. The project’s limited responsiveness to systemic inefficiencies, regional disparities, and the digital divide restricts its overall effectiveness (Finding 1). </w:t>
      </w:r>
    </w:p>
    <w:p w14:paraId="178E1231" w14:textId="2BCB8866" w:rsidR="005D6250" w:rsidRPr="007A5C5F" w:rsidRDefault="005D6250" w:rsidP="005D6250">
      <w:pPr>
        <w:pStyle w:val="ListParagraph"/>
        <w:numPr>
          <w:ilvl w:val="0"/>
          <w:numId w:val="49"/>
        </w:numPr>
        <w:jc w:val="both"/>
        <w:rPr>
          <w:sz w:val="22"/>
          <w:szCs w:val="22"/>
          <w:lang w:val="en-GB"/>
        </w:rPr>
      </w:pPr>
      <w:r w:rsidRPr="005D6250">
        <w:rPr>
          <w:sz w:val="22"/>
          <w:szCs w:val="22"/>
          <w:lang w:val="en-GB"/>
        </w:rPr>
        <w:t xml:space="preserve">While JURE evolved to accommodate emerging national priorities, such as digital transformation and commercial law improvements, its rapid expansion from six to eleven outputs led to operational complexities and potential dilution of </w:t>
      </w:r>
      <w:r w:rsidR="007A5C5F" w:rsidRPr="007A5C5F">
        <w:rPr>
          <w:sz w:val="22"/>
          <w:szCs w:val="22"/>
          <w:lang w:val="en-GB"/>
        </w:rPr>
        <w:t>overall</w:t>
      </w:r>
      <w:r w:rsidRPr="007A5C5F">
        <w:rPr>
          <w:sz w:val="22"/>
          <w:szCs w:val="22"/>
          <w:lang w:val="en-GB"/>
        </w:rPr>
        <w:t xml:space="preserve"> </w:t>
      </w:r>
      <w:r w:rsidRPr="005D6250">
        <w:rPr>
          <w:sz w:val="22"/>
          <w:szCs w:val="22"/>
          <w:lang w:val="en-GB"/>
        </w:rPr>
        <w:t>impact. Additionally, modifications made in response to government requests sometimes lacked coherence, raising concerns regarding strategic direction and stakeholder engagement (Finding 2).</w:t>
      </w:r>
    </w:p>
    <w:p w14:paraId="066A94D4" w14:textId="44E4866F" w:rsidR="005D6250" w:rsidRPr="007A5C5F" w:rsidRDefault="005D6250" w:rsidP="005D6250">
      <w:pPr>
        <w:pStyle w:val="ListParagraph"/>
        <w:numPr>
          <w:ilvl w:val="0"/>
          <w:numId w:val="49"/>
        </w:numPr>
        <w:jc w:val="both"/>
        <w:rPr>
          <w:sz w:val="22"/>
          <w:szCs w:val="22"/>
          <w:lang w:val="en-GB"/>
        </w:rPr>
      </w:pPr>
      <w:r w:rsidRPr="005D6250">
        <w:rPr>
          <w:sz w:val="22"/>
          <w:szCs w:val="22"/>
          <w:lang w:val="en-GB"/>
        </w:rPr>
        <w:t xml:space="preserve">A critical shortfall in JURE’s relevance lies in its exclusion of environmental justice initiatives from the 2024 Work Plan, despite prior investments and demonstrated impact in this area. The project successfully established South Asia’s first </w:t>
      </w:r>
      <w:r w:rsidRPr="007A5C5F">
        <w:rPr>
          <w:sz w:val="22"/>
          <w:szCs w:val="22"/>
          <w:lang w:val="en-GB"/>
        </w:rPr>
        <w:t>master’s</w:t>
      </w:r>
      <w:r w:rsidRPr="005D6250">
        <w:rPr>
          <w:sz w:val="22"/>
          <w:szCs w:val="22"/>
          <w:lang w:val="en-GB"/>
        </w:rPr>
        <w:t xml:space="preserve"> program in Environmental and Climate Change Law, demonstrating its innovative contributions to environmental governance. However, the absence of follow-up measures weakens the sustainability of these achievements and disregards national and global commitments to environmental protection (Finding 3). Addressing these gaps by ensuring a structured, strategic approach to implementation and maintaining consistency in its thematic focus areas will be crucial for sustaining JURE’s relevance.</w:t>
      </w:r>
    </w:p>
    <w:p w14:paraId="30B2B802" w14:textId="45CC1739" w:rsidR="005D6250" w:rsidRPr="007A5C5F" w:rsidRDefault="005D6250" w:rsidP="005D6250">
      <w:pPr>
        <w:pStyle w:val="ListParagraph"/>
        <w:numPr>
          <w:ilvl w:val="0"/>
          <w:numId w:val="49"/>
        </w:numPr>
        <w:jc w:val="both"/>
        <w:rPr>
          <w:sz w:val="22"/>
          <w:szCs w:val="22"/>
          <w:lang w:val="en-GB"/>
        </w:rPr>
      </w:pPr>
      <w:r w:rsidRPr="007A5C5F">
        <w:rPr>
          <w:sz w:val="22"/>
          <w:szCs w:val="22"/>
          <w:lang w:val="en-GB"/>
        </w:rPr>
        <w:t>T</w:t>
      </w:r>
      <w:r w:rsidR="00170FD1" w:rsidRPr="007A5C5F">
        <w:rPr>
          <w:sz w:val="22"/>
          <w:szCs w:val="22"/>
          <w:lang w:val="en-GB"/>
        </w:rPr>
        <w:t>he project’s design</w:t>
      </w:r>
      <w:r w:rsidR="00D715F2" w:rsidRPr="007A5C5F">
        <w:rPr>
          <w:sz w:val="22"/>
          <w:szCs w:val="22"/>
          <w:lang w:val="en-GB"/>
        </w:rPr>
        <w:t xml:space="preserve">, </w:t>
      </w:r>
      <w:r w:rsidR="00597CD7">
        <w:rPr>
          <w:sz w:val="22"/>
          <w:szCs w:val="22"/>
          <w:lang w:val="en-GB"/>
        </w:rPr>
        <w:t xml:space="preserve">and </w:t>
      </w:r>
      <w:r w:rsidR="00D715F2" w:rsidRPr="007A5C5F">
        <w:rPr>
          <w:sz w:val="22"/>
          <w:szCs w:val="22"/>
          <w:lang w:val="en-GB"/>
        </w:rPr>
        <w:t xml:space="preserve">implementation modalities </w:t>
      </w:r>
      <w:r w:rsidR="00170FD1" w:rsidRPr="007A5C5F">
        <w:rPr>
          <w:sz w:val="22"/>
          <w:szCs w:val="22"/>
          <w:lang w:val="en-GB"/>
        </w:rPr>
        <w:t xml:space="preserve">could have been further strengthened by adopting a more systemic approach, </w:t>
      </w:r>
      <w:r w:rsidR="009E2B5C" w:rsidRPr="007A5C5F">
        <w:rPr>
          <w:sz w:val="22"/>
          <w:szCs w:val="22"/>
          <w:lang w:val="en-GB"/>
        </w:rPr>
        <w:t>bringing</w:t>
      </w:r>
      <w:r w:rsidR="00D715F2" w:rsidRPr="007A5C5F">
        <w:rPr>
          <w:sz w:val="22"/>
          <w:szCs w:val="22"/>
          <w:lang w:val="en-GB"/>
        </w:rPr>
        <w:t xml:space="preserve"> </w:t>
      </w:r>
      <w:r w:rsidR="00597CD7">
        <w:rPr>
          <w:sz w:val="22"/>
          <w:szCs w:val="22"/>
          <w:lang w:val="en-GB"/>
        </w:rPr>
        <w:t xml:space="preserve">a </w:t>
      </w:r>
      <w:r w:rsidR="00D715F2" w:rsidRPr="007A5C5F">
        <w:rPr>
          <w:sz w:val="22"/>
          <w:szCs w:val="22"/>
          <w:lang w:val="en-GB"/>
        </w:rPr>
        <w:t>wealth of expertise</w:t>
      </w:r>
      <w:r w:rsidR="00DE4B04" w:rsidRPr="007A5C5F">
        <w:rPr>
          <w:sz w:val="22"/>
          <w:szCs w:val="22"/>
          <w:lang w:val="en-GB"/>
        </w:rPr>
        <w:t xml:space="preserve"> and advice</w:t>
      </w:r>
      <w:r w:rsidR="00D715F2" w:rsidRPr="007A5C5F">
        <w:rPr>
          <w:sz w:val="22"/>
          <w:szCs w:val="22"/>
          <w:lang w:val="en-GB"/>
        </w:rPr>
        <w:t xml:space="preserve">, </w:t>
      </w:r>
      <w:r w:rsidR="00170FD1" w:rsidRPr="007A5C5F">
        <w:rPr>
          <w:sz w:val="22"/>
          <w:szCs w:val="22"/>
          <w:lang w:val="en-GB"/>
        </w:rPr>
        <w:t>enhancing adaptability, ensuring sustainability, and addressing geographical disparities.</w:t>
      </w:r>
    </w:p>
    <w:p w14:paraId="70E48FBA" w14:textId="1E4799D7" w:rsidR="005D6250" w:rsidRPr="005D6250" w:rsidRDefault="005D6250" w:rsidP="005D6250">
      <w:pPr>
        <w:jc w:val="both"/>
        <w:rPr>
          <w:b/>
          <w:bCs/>
          <w:lang w:val="en-GB"/>
        </w:rPr>
      </w:pPr>
    </w:p>
    <w:p w14:paraId="6A0CF333" w14:textId="327F84DD" w:rsidR="005D6250" w:rsidRPr="007A5C5F" w:rsidRDefault="005D6250" w:rsidP="005D6250">
      <w:pPr>
        <w:pStyle w:val="ListParagraph"/>
        <w:numPr>
          <w:ilvl w:val="0"/>
          <w:numId w:val="49"/>
        </w:numPr>
        <w:jc w:val="both"/>
        <w:rPr>
          <w:b/>
          <w:bCs/>
          <w:lang w:val="en-GB"/>
        </w:rPr>
      </w:pPr>
      <w:r w:rsidRPr="007A5C5F">
        <w:rPr>
          <w:b/>
          <w:bCs/>
          <w:lang w:val="en-GB"/>
        </w:rPr>
        <w:t xml:space="preserve">Coherence. </w:t>
      </w:r>
      <w:r w:rsidRPr="007A5C5F">
        <w:rPr>
          <w:sz w:val="22"/>
          <w:szCs w:val="22"/>
          <w:lang w:val="en-GB"/>
        </w:rPr>
        <w:t>The evaluation highlights the JURE Programme’s coherence within the broader UNDP SDG 16 portfolio while identifying key areas for improvement. The Project is part of the ecosystem of good go</w:t>
      </w:r>
      <w:r w:rsidR="007A5C5F">
        <w:rPr>
          <w:sz w:val="22"/>
          <w:szCs w:val="22"/>
          <w:lang w:val="en-GB"/>
        </w:rPr>
        <w:t>v</w:t>
      </w:r>
      <w:r w:rsidRPr="007A5C5F">
        <w:rPr>
          <w:sz w:val="22"/>
          <w:szCs w:val="22"/>
          <w:lang w:val="en-GB"/>
        </w:rPr>
        <w:t>ern</w:t>
      </w:r>
      <w:r w:rsidR="007A5C5F">
        <w:rPr>
          <w:sz w:val="22"/>
          <w:szCs w:val="22"/>
          <w:lang w:val="en-GB"/>
        </w:rPr>
        <w:t>an</w:t>
      </w:r>
      <w:r w:rsidRPr="007A5C5F">
        <w:rPr>
          <w:sz w:val="22"/>
          <w:szCs w:val="22"/>
          <w:lang w:val="en-GB"/>
        </w:rPr>
        <w:t xml:space="preserve">ce and rule of law </w:t>
      </w:r>
      <w:r w:rsidR="009C2EF1" w:rsidRPr="007A5C5F">
        <w:rPr>
          <w:sz w:val="22"/>
          <w:szCs w:val="22"/>
          <w:lang w:val="en-GB"/>
        </w:rPr>
        <w:t>initiatives</w:t>
      </w:r>
      <w:r w:rsidRPr="007A5C5F">
        <w:rPr>
          <w:sz w:val="22"/>
          <w:szCs w:val="22"/>
          <w:lang w:val="en-GB"/>
        </w:rPr>
        <w:t xml:space="preserve"> impleme</w:t>
      </w:r>
      <w:r w:rsidR="009C2EF1" w:rsidRPr="007A5C5F">
        <w:rPr>
          <w:sz w:val="22"/>
          <w:szCs w:val="22"/>
          <w:lang w:val="en-GB"/>
        </w:rPr>
        <w:t>n</w:t>
      </w:r>
      <w:r w:rsidRPr="007A5C5F">
        <w:rPr>
          <w:sz w:val="22"/>
          <w:szCs w:val="22"/>
          <w:lang w:val="en-GB"/>
        </w:rPr>
        <w:t xml:space="preserve">ted in this portfolio. JURE’s anti-corruption </w:t>
      </w:r>
      <w:r w:rsidR="00597CD7">
        <w:rPr>
          <w:sz w:val="22"/>
          <w:szCs w:val="22"/>
          <w:lang w:val="en-GB"/>
        </w:rPr>
        <w:t xml:space="preserve">achievements </w:t>
      </w:r>
      <w:r w:rsidRPr="007A5C5F">
        <w:rPr>
          <w:sz w:val="22"/>
          <w:szCs w:val="22"/>
          <w:lang w:val="en-GB"/>
        </w:rPr>
        <w:t xml:space="preserve">were further supported by </w:t>
      </w:r>
      <w:r w:rsidR="00597CD7">
        <w:rPr>
          <w:sz w:val="22"/>
          <w:szCs w:val="22"/>
          <w:lang w:val="en-GB"/>
        </w:rPr>
        <w:t xml:space="preserve">the </w:t>
      </w:r>
      <w:r w:rsidRPr="007A5C5F">
        <w:rPr>
          <w:sz w:val="22"/>
          <w:szCs w:val="22"/>
          <w:lang w:val="en-GB"/>
        </w:rPr>
        <w:t xml:space="preserve">JIKA-funded project. While the project demonstrated a degree of internal coherence in its implementation, there remains significant potential to strengthen this coherence by adopting UNDP’s integrated approach, which emphasizes leveraging synergies across thematic areas to achieve sustainable development outcomes (Finding 3). Despite evidence of collaboration, such as the alignment between JURE and </w:t>
      </w:r>
      <w:r w:rsidR="00597CD7">
        <w:rPr>
          <w:sz w:val="22"/>
          <w:szCs w:val="22"/>
          <w:lang w:val="en-GB"/>
        </w:rPr>
        <w:t xml:space="preserve">the </w:t>
      </w:r>
      <w:r w:rsidRPr="007A5C5F">
        <w:rPr>
          <w:sz w:val="22"/>
          <w:szCs w:val="22"/>
          <w:lang w:val="en-GB"/>
        </w:rPr>
        <w:t>Canada-funded SGBV Project in judicial training, case management, and victim support services, the programme could enhance its impact by systematically linking its initiatives on economic empowerment with UNDP’s broader economic resilience programmes and integrating its environmental justice work within UNDP’s sustainability efforts.</w:t>
      </w:r>
    </w:p>
    <w:p w14:paraId="30BA2705" w14:textId="3F978224" w:rsidR="005D6250" w:rsidRPr="007A5C5F" w:rsidRDefault="005D6250" w:rsidP="005D6250">
      <w:pPr>
        <w:pStyle w:val="ListParagraph"/>
        <w:numPr>
          <w:ilvl w:val="0"/>
          <w:numId w:val="49"/>
        </w:numPr>
        <w:jc w:val="both"/>
        <w:rPr>
          <w:sz w:val="22"/>
          <w:szCs w:val="22"/>
          <w:lang w:val="en-GB"/>
        </w:rPr>
      </w:pPr>
      <w:r w:rsidRPr="00A30CE2">
        <w:rPr>
          <w:sz w:val="22"/>
          <w:szCs w:val="22"/>
          <w:lang w:val="en-GB"/>
        </w:rPr>
        <w:t xml:space="preserve">External coherence remains a challenge due to the fragmented development landscape, where multiple donors—including USAID, the EU, KOICA, JICA, </w:t>
      </w:r>
      <w:proofErr w:type="gramStart"/>
      <w:r w:rsidRPr="00A30CE2">
        <w:rPr>
          <w:sz w:val="22"/>
          <w:szCs w:val="22"/>
          <w:lang w:val="en-GB"/>
        </w:rPr>
        <w:t xml:space="preserve">and </w:t>
      </w:r>
      <w:r w:rsidR="007D2C89">
        <w:rPr>
          <w:sz w:val="22"/>
          <w:szCs w:val="22"/>
          <w:lang w:val="en-GB"/>
        </w:rPr>
        <w:t xml:space="preserve"> organisation</w:t>
      </w:r>
      <w:proofErr w:type="gramEnd"/>
      <w:r w:rsidR="007D2C89">
        <w:rPr>
          <w:sz w:val="22"/>
          <w:szCs w:val="22"/>
          <w:lang w:val="en-GB"/>
        </w:rPr>
        <w:t xml:space="preserve"> like UNODC</w:t>
      </w:r>
      <w:r w:rsidRPr="00A30CE2">
        <w:rPr>
          <w:sz w:val="22"/>
          <w:szCs w:val="22"/>
          <w:lang w:val="en-GB"/>
        </w:rPr>
        <w:t xml:space="preserve">—support overlapping justice sector initiatives, such as virtual trials, forensic analysis capacity building, and anti-corruption measures (Finding 4). While this competitive environment offers opportunities for collaboration, it also </w:t>
      </w:r>
      <w:r w:rsidRPr="00A30CE2">
        <w:rPr>
          <w:sz w:val="22"/>
          <w:szCs w:val="22"/>
          <w:lang w:val="en-GB"/>
        </w:rPr>
        <w:lastRenderedPageBreak/>
        <w:t>presents risks of duplication if coordination mechanisms are not effectively utilized. JURE remains the largest EU-funded justice sector programme, but the absence of a structured donor coordination framework limits the programme’s ability to align strategically with other initiatives. Addressing these coherence gaps through enhanced inter-agency collaboration, cross-sectoral linkages, and strengthened donor coordination would maximize impact and ensure a more sustainable and cohesive approach to justice sector reforms.</w:t>
      </w:r>
      <w:r w:rsidR="007D2C89">
        <w:rPr>
          <w:sz w:val="22"/>
          <w:szCs w:val="22"/>
          <w:lang w:val="en-GB"/>
        </w:rPr>
        <w:t xml:space="preserve"> </w:t>
      </w:r>
      <w:r w:rsidR="00E9553E" w:rsidRPr="00D24919">
        <w:rPr>
          <w:sz w:val="22"/>
          <w:szCs w:val="22"/>
          <w:lang w:val="en-GB"/>
        </w:rPr>
        <w:t>Donor coordination is a core function of the Ministry of Justice (MoJ) as the government institution responsible for overseeing and guiding justice sector reforms. JURE should play a supporting role by enhancing the MoJ’s capacity to coordinate donor efforts more effectively</w:t>
      </w:r>
      <w:r w:rsidR="00E9553E">
        <w:rPr>
          <w:sz w:val="22"/>
          <w:szCs w:val="22"/>
          <w:lang w:val="en-GB"/>
        </w:rPr>
        <w:t>.</w:t>
      </w:r>
    </w:p>
    <w:p w14:paraId="6EAA211A" w14:textId="6118D39F" w:rsidR="005D6250" w:rsidRPr="007A5C5F" w:rsidRDefault="005D6250" w:rsidP="005D6250">
      <w:pPr>
        <w:pStyle w:val="ListParagraph"/>
        <w:numPr>
          <w:ilvl w:val="0"/>
          <w:numId w:val="49"/>
        </w:numPr>
        <w:jc w:val="both"/>
        <w:rPr>
          <w:sz w:val="22"/>
          <w:szCs w:val="22"/>
          <w:lang w:val="en-GB"/>
        </w:rPr>
      </w:pPr>
      <w:r w:rsidRPr="007A5C5F">
        <w:rPr>
          <w:b/>
          <w:bCs/>
          <w:sz w:val="22"/>
          <w:szCs w:val="22"/>
          <w:lang w:val="en-GB"/>
        </w:rPr>
        <w:t>Efficiency.</w:t>
      </w:r>
      <w:r w:rsidRPr="007A5C5F">
        <w:rPr>
          <w:sz w:val="22"/>
          <w:szCs w:val="22"/>
          <w:lang w:val="en-GB"/>
        </w:rPr>
        <w:t xml:space="preserve"> JURE’s efficiency in resource allocation and operational investments presents a mixed picture. The project demonstrates value for money in areas such as strategic</w:t>
      </w:r>
      <w:r w:rsidR="00597CD7">
        <w:rPr>
          <w:sz w:val="22"/>
          <w:szCs w:val="22"/>
          <w:lang w:val="en-GB"/>
        </w:rPr>
        <w:t>,</w:t>
      </w:r>
      <w:r w:rsidRPr="007A5C5F">
        <w:rPr>
          <w:sz w:val="22"/>
          <w:szCs w:val="22"/>
          <w:lang w:val="en-GB"/>
        </w:rPr>
        <w:t xml:space="preserve"> operational investments and targeted outcomes. However, inefficiencies in financial management, delays in fund disbursement, and underutilization of resources have negatively impacted its overall efficiency. Strengthening financial reporting, improving coordination among agencies, and better integrating resources will be important steps toward maximizing value for money (Finding 6).</w:t>
      </w:r>
    </w:p>
    <w:p w14:paraId="0FC4D64A" w14:textId="77777777" w:rsidR="005D6250" w:rsidRPr="007A5C5F" w:rsidRDefault="005D6250" w:rsidP="005D6250">
      <w:pPr>
        <w:pStyle w:val="ListParagraph"/>
        <w:numPr>
          <w:ilvl w:val="0"/>
          <w:numId w:val="49"/>
        </w:numPr>
        <w:jc w:val="both"/>
        <w:rPr>
          <w:sz w:val="22"/>
          <w:szCs w:val="22"/>
          <w:lang w:val="en-GB"/>
        </w:rPr>
      </w:pPr>
      <w:r w:rsidRPr="007A5C5F">
        <w:rPr>
          <w:sz w:val="22"/>
          <w:szCs w:val="22"/>
          <w:lang w:val="en-GB"/>
        </w:rPr>
        <w:t>The project demonstrated adaptability by responding to recommendations from the ROM mission through strategic adjustments and innovative solutions. While significant progress has been made in aligning activities with results-based approaches, gender mainstreaming, and stakeholder engagement, persistent challenges remain in addressing implementation delays and ensuring the sustainability of transformative models. The integration of results-based methodologies in planning and execution has improved, but further refinements are necessary to fully optimize the project’s impact (Finding 6).</w:t>
      </w:r>
    </w:p>
    <w:p w14:paraId="0D5D8152" w14:textId="4EEB05C8" w:rsidR="005D6250" w:rsidRPr="007A5C5F" w:rsidRDefault="005D6250" w:rsidP="00355BD2">
      <w:pPr>
        <w:pStyle w:val="ListParagraph"/>
        <w:numPr>
          <w:ilvl w:val="0"/>
          <w:numId w:val="49"/>
        </w:numPr>
        <w:jc w:val="both"/>
        <w:rPr>
          <w:sz w:val="22"/>
          <w:szCs w:val="22"/>
          <w:lang w:val="en-GB"/>
        </w:rPr>
      </w:pPr>
      <w:r w:rsidRPr="007A5C5F">
        <w:rPr>
          <w:sz w:val="22"/>
          <w:szCs w:val="22"/>
          <w:lang w:val="en-GB"/>
        </w:rPr>
        <w:t>Despite these adaptive</w:t>
      </w:r>
      <w:r w:rsidR="00355BD2" w:rsidRPr="007A5C5F">
        <w:rPr>
          <w:sz w:val="22"/>
          <w:szCs w:val="22"/>
          <w:lang w:val="en-GB"/>
        </w:rPr>
        <w:t xml:space="preserve"> </w:t>
      </w:r>
      <w:r w:rsidRPr="007A5C5F">
        <w:rPr>
          <w:sz w:val="22"/>
          <w:szCs w:val="22"/>
          <w:lang w:val="en-GB"/>
        </w:rPr>
        <w:t>management efforts, inefficiencies in fund disbursement have constrained the timely completion of planned activities. Delays, largely caused by late approval of the 2024 Work Plan, left a significant portion of the budget unutilized, raising concerns about financial execution and project sustainability (Finding 5). Additionally, disparities in expenditure rates between project components highlight the need for more effective financial oversight and streamlined budget execution mechanisms.</w:t>
      </w:r>
    </w:p>
    <w:p w14:paraId="5736CF40" w14:textId="77777777" w:rsidR="005D6250" w:rsidRPr="007A5C5F" w:rsidRDefault="005D6250" w:rsidP="005D6250">
      <w:pPr>
        <w:pStyle w:val="ListParagraph"/>
        <w:numPr>
          <w:ilvl w:val="0"/>
          <w:numId w:val="49"/>
        </w:numPr>
        <w:jc w:val="both"/>
        <w:rPr>
          <w:sz w:val="22"/>
          <w:szCs w:val="22"/>
          <w:lang w:val="en-GB"/>
        </w:rPr>
      </w:pPr>
      <w:r w:rsidRPr="007A5C5F">
        <w:rPr>
          <w:sz w:val="22"/>
          <w:szCs w:val="22"/>
          <w:lang w:val="en-GB"/>
        </w:rPr>
        <w:t>Human resource constraints further hindered JURE’s efficiency, particularly within local governance institutions and IT support units (Finding 6). The project faced significant difficulties in recruiting and retaining qualified personnel due to economic constraints and government-imposed hiring freezes. While JURE attempted to mitigate these issues by temporarily supporting critical technical expertise, the lack of a long-term sustainability strategy led to the discontinuation of this approach following an EU-commissioned monitoring mission. The discontinuation of temporary staffing solutions underscores the need for a more sustainable capacity-building model that prioritizes institutional ownership and national-level integration.</w:t>
      </w:r>
    </w:p>
    <w:p w14:paraId="6CB9A762" w14:textId="77777777" w:rsidR="005D6250" w:rsidRPr="007A5C5F" w:rsidRDefault="005D6250" w:rsidP="005D6250">
      <w:pPr>
        <w:pStyle w:val="ListParagraph"/>
        <w:numPr>
          <w:ilvl w:val="0"/>
          <w:numId w:val="49"/>
        </w:numPr>
        <w:jc w:val="both"/>
        <w:rPr>
          <w:sz w:val="22"/>
          <w:szCs w:val="22"/>
          <w:lang w:val="en-GB"/>
        </w:rPr>
      </w:pPr>
      <w:r w:rsidRPr="007A5C5F">
        <w:rPr>
          <w:sz w:val="22"/>
          <w:szCs w:val="22"/>
          <w:lang w:val="en-GB"/>
        </w:rPr>
        <w:t>Moving forward, enhancing financial oversight, ensuring timely fund disbursement, and implementing a sustainable staffing approach will be critical to optimizing resource efficiency. A more structured financial risk management strategy, along with proactive planning and contingency measures, will help mitigate implementation delays and ensure that allocated resources are utilized effectively to achieve the project’s objectives.</w:t>
      </w:r>
    </w:p>
    <w:p w14:paraId="23D3B71A" w14:textId="23B875CD" w:rsidR="005D6250" w:rsidRPr="007A5C5F" w:rsidRDefault="005D6250" w:rsidP="005D6250">
      <w:pPr>
        <w:pStyle w:val="ListParagraph"/>
        <w:numPr>
          <w:ilvl w:val="0"/>
          <w:numId w:val="49"/>
        </w:numPr>
        <w:jc w:val="both"/>
        <w:rPr>
          <w:sz w:val="22"/>
          <w:szCs w:val="22"/>
          <w:lang w:val="en-GB"/>
        </w:rPr>
      </w:pPr>
      <w:r w:rsidRPr="007A5C5F">
        <w:rPr>
          <w:b/>
          <w:bCs/>
          <w:sz w:val="22"/>
          <w:szCs w:val="22"/>
          <w:lang w:val="en-GB"/>
        </w:rPr>
        <w:t>Effectiveness.</w:t>
      </w:r>
      <w:r w:rsidRPr="007A5C5F">
        <w:rPr>
          <w:sz w:val="22"/>
          <w:szCs w:val="22"/>
          <w:lang w:val="en-GB"/>
        </w:rPr>
        <w:t xml:space="preserve"> JURE has been effective in achieving its planned outputs and contributing to justice sector reforms, particularly in enhancing access to justice, strengthening accountability mechanisms, and institutionalizing legal protections for vulnerable groups. The project facilitated legal aid and representation for over 5,795 individuals, including marginalized communities, and played a critical role in securing the release of children from adult prisons (Finding 8). Its collaboration with legal aid commissions and CSOs has bolstered support structures for vulnerable populations, while training programs for justice actors have improved institutional responsiveness to legal challenges.</w:t>
      </w:r>
    </w:p>
    <w:p w14:paraId="21A7144E" w14:textId="3268759F" w:rsidR="0061282E" w:rsidRPr="007A5C5F" w:rsidRDefault="005D6250" w:rsidP="007717EA">
      <w:pPr>
        <w:pStyle w:val="ListParagraph"/>
        <w:numPr>
          <w:ilvl w:val="0"/>
          <w:numId w:val="49"/>
        </w:numPr>
        <w:jc w:val="both"/>
        <w:rPr>
          <w:sz w:val="22"/>
          <w:szCs w:val="22"/>
          <w:lang w:val="en-GB"/>
        </w:rPr>
      </w:pPr>
      <w:r w:rsidRPr="007A5C5F">
        <w:rPr>
          <w:sz w:val="22"/>
          <w:szCs w:val="22"/>
          <w:lang w:val="en-GB"/>
        </w:rPr>
        <w:t xml:space="preserve">However, gaps remain in embedding these reforms within national institutions to ensure long-term sustainability. </w:t>
      </w:r>
      <w:r w:rsidR="007717EA" w:rsidRPr="00D24919">
        <w:rPr>
          <w:sz w:val="22"/>
          <w:szCs w:val="22"/>
        </w:rPr>
        <w:t>Improved coordination between UNDP and other justice sector actors, including UNICEF, is necessary to align implementation strategies, create synergies and complementarities, and optimize resource utilization (Finding 9).</w:t>
      </w:r>
      <w:r w:rsidRPr="007717EA">
        <w:rPr>
          <w:sz w:val="22"/>
          <w:szCs w:val="22"/>
          <w:lang w:val="en-GB"/>
        </w:rPr>
        <w:t xml:space="preserve"> </w:t>
      </w:r>
      <w:r w:rsidRPr="007A5C5F">
        <w:rPr>
          <w:sz w:val="22"/>
          <w:szCs w:val="22"/>
          <w:lang w:val="en-GB"/>
        </w:rPr>
        <w:t>Additionally, JURE’s digital transformation initiatives have encountered challenges, particularly in ensuring equitable access to digital justice solutions. Inadequate assessments of the digital divide and the absence of inclusive algorithms hindered the full accessibility of these solutions for persons with disabilities, migrant workers, and other vulnerable groups (Finding 10). Addressing these issues through a more inclusive, data-driven approach will be essential for maximizing JURE’s long-term effectiveness.</w:t>
      </w:r>
    </w:p>
    <w:p w14:paraId="3D483A49" w14:textId="77777777" w:rsidR="0061282E" w:rsidRPr="007A5C5F" w:rsidRDefault="0061282E" w:rsidP="005D6250">
      <w:pPr>
        <w:pStyle w:val="ListParagraph"/>
        <w:numPr>
          <w:ilvl w:val="0"/>
          <w:numId w:val="0"/>
        </w:numPr>
        <w:ind w:left="360"/>
        <w:jc w:val="both"/>
        <w:rPr>
          <w:sz w:val="22"/>
          <w:szCs w:val="22"/>
          <w:lang w:val="en-GB"/>
        </w:rPr>
      </w:pPr>
    </w:p>
    <w:p w14:paraId="3B68D988" w14:textId="38EF4690" w:rsidR="005D6250" w:rsidRPr="005D6250" w:rsidRDefault="005D6250" w:rsidP="005D6250">
      <w:pPr>
        <w:pStyle w:val="ListParagraph"/>
        <w:numPr>
          <w:ilvl w:val="0"/>
          <w:numId w:val="49"/>
        </w:numPr>
        <w:jc w:val="both"/>
        <w:rPr>
          <w:sz w:val="22"/>
          <w:szCs w:val="22"/>
          <w:lang w:val="en-GB"/>
        </w:rPr>
      </w:pPr>
      <w:r w:rsidRPr="007A5C5F">
        <w:rPr>
          <w:b/>
          <w:bCs/>
          <w:sz w:val="22"/>
          <w:szCs w:val="22"/>
          <w:lang w:val="en-GB"/>
        </w:rPr>
        <w:lastRenderedPageBreak/>
        <w:t>Impact</w:t>
      </w:r>
      <w:r w:rsidRPr="007A5C5F">
        <w:rPr>
          <w:sz w:val="22"/>
          <w:szCs w:val="22"/>
          <w:lang w:val="en-GB"/>
        </w:rPr>
        <w:t xml:space="preserve">. </w:t>
      </w:r>
      <w:r w:rsidRPr="005D6250">
        <w:rPr>
          <w:sz w:val="22"/>
          <w:szCs w:val="22"/>
          <w:lang w:val="en-GB"/>
        </w:rPr>
        <w:t xml:space="preserve">JURE’s interventions have contributed to systemic reforms and strengthened institutional accountability, creating a foundation for long-term legal and institutional improvements. Legislative advancements, such as the Anti-Corruption Act 2023, have reinforced institutional transparency and governance (Finding 9). </w:t>
      </w:r>
    </w:p>
    <w:p w14:paraId="406E0F46" w14:textId="62F3B523" w:rsidR="005D6250" w:rsidRPr="005D6250" w:rsidRDefault="005D6250" w:rsidP="005D6250">
      <w:pPr>
        <w:pStyle w:val="ListParagraph"/>
        <w:numPr>
          <w:ilvl w:val="0"/>
          <w:numId w:val="49"/>
        </w:numPr>
        <w:jc w:val="both"/>
        <w:rPr>
          <w:sz w:val="22"/>
          <w:szCs w:val="22"/>
          <w:lang w:val="en-GB"/>
        </w:rPr>
      </w:pPr>
      <w:r w:rsidRPr="005D6250">
        <w:rPr>
          <w:sz w:val="22"/>
          <w:szCs w:val="22"/>
          <w:lang w:val="en-GB"/>
        </w:rPr>
        <w:t xml:space="preserve">The project’s focus on rehabilitative justice led to raising the minimum age of imprisonment and expanding </w:t>
      </w:r>
      <w:r w:rsidR="006C5CC9" w:rsidRPr="00C900FD">
        <w:rPr>
          <w:sz w:val="22"/>
          <w:szCs w:val="22"/>
          <w:lang w:val="en-GB"/>
        </w:rPr>
        <w:t xml:space="preserve">mediation and diversion-like measures </w:t>
      </w:r>
      <w:r w:rsidRPr="005D6250">
        <w:rPr>
          <w:sz w:val="22"/>
          <w:szCs w:val="22"/>
          <w:lang w:val="en-GB"/>
        </w:rPr>
        <w:t xml:space="preserve">for juvenile offenders involved in minor </w:t>
      </w:r>
      <w:r w:rsidR="00597CD7">
        <w:rPr>
          <w:sz w:val="22"/>
          <w:szCs w:val="22"/>
          <w:lang w:val="en-GB"/>
        </w:rPr>
        <w:t>offences</w:t>
      </w:r>
      <w:r w:rsidRPr="005D6250">
        <w:rPr>
          <w:sz w:val="22"/>
          <w:szCs w:val="22"/>
          <w:lang w:val="en-GB"/>
        </w:rPr>
        <w:t xml:space="preserve">, resulting in a decline in the number of children detained in the formal justice system (Finding 10). These emerging impacts highlight JURE’s tangible contributions to juvenile justice reform by addressing key legislative and procedural gaps through systemic changes, such as increasing the age limit for imprisonment and expanding mediation thresholds. By fostering a shift toward rehabilitative and restorative justice approaches, </w:t>
      </w:r>
      <w:r w:rsidR="006C5CC9" w:rsidRPr="00EE71C7">
        <w:rPr>
          <w:sz w:val="22"/>
          <w:szCs w:val="22"/>
          <w:lang w:val="en-GB"/>
        </w:rPr>
        <w:t xml:space="preserve">mediation and diversion-like measures </w:t>
      </w:r>
      <w:r w:rsidRPr="005D6250">
        <w:rPr>
          <w:sz w:val="22"/>
          <w:szCs w:val="22"/>
          <w:lang w:val="en-GB"/>
        </w:rPr>
        <w:t xml:space="preserve">for juvenile offenders, particularly those involved in minor </w:t>
      </w:r>
      <w:r w:rsidR="00597CD7">
        <w:rPr>
          <w:sz w:val="22"/>
          <w:szCs w:val="22"/>
          <w:lang w:val="en-GB"/>
        </w:rPr>
        <w:t>offences</w:t>
      </w:r>
      <w:r w:rsidRPr="005D6250">
        <w:rPr>
          <w:sz w:val="22"/>
          <w:szCs w:val="22"/>
          <w:lang w:val="en-GB"/>
        </w:rPr>
        <w:t>, are helping to align legal processes with international best practices. Advocacy efforts have reinforced this shift by encouraging a cultural transition between the judges toward more restorative responses, reducing harm to children in conflict with the law, and improving their long-term prospects for reintegration into society.</w:t>
      </w:r>
    </w:p>
    <w:p w14:paraId="66BAA13C" w14:textId="7C4E31EF" w:rsidR="005D6250" w:rsidRPr="007A5C5F" w:rsidRDefault="005D6250" w:rsidP="005D6250">
      <w:pPr>
        <w:pStyle w:val="ListParagraph"/>
        <w:numPr>
          <w:ilvl w:val="0"/>
          <w:numId w:val="49"/>
        </w:numPr>
        <w:jc w:val="both"/>
        <w:rPr>
          <w:sz w:val="22"/>
          <w:szCs w:val="22"/>
          <w:lang w:val="en-GB"/>
        </w:rPr>
      </w:pPr>
      <w:r w:rsidRPr="005D6250">
        <w:rPr>
          <w:sz w:val="22"/>
          <w:szCs w:val="22"/>
          <w:lang w:val="en-GB"/>
        </w:rPr>
        <w:t xml:space="preserve">While not all the </w:t>
      </w:r>
      <w:r w:rsidR="00E612E2">
        <w:rPr>
          <w:sz w:val="22"/>
          <w:szCs w:val="22"/>
          <w:lang w:val="en-GB"/>
        </w:rPr>
        <w:t>impact-level</w:t>
      </w:r>
      <w:r w:rsidR="00BB1E3D">
        <w:rPr>
          <w:sz w:val="22"/>
          <w:szCs w:val="22"/>
          <w:lang w:val="en-GB"/>
        </w:rPr>
        <w:t xml:space="preserve"> </w:t>
      </w:r>
      <w:r w:rsidRPr="005D6250">
        <w:rPr>
          <w:sz w:val="22"/>
          <w:szCs w:val="22"/>
          <w:lang w:val="en-GB"/>
        </w:rPr>
        <w:t>goals of JURE will be reached by the end of the project, there is significant potential for its ongoing implementation to serve as a catalyst for broader justice sector reforms. This is contingent upon the development of a coherent exit strategy that ensures continuity and sustainability.</w:t>
      </w:r>
      <w:r w:rsidR="00E612E2" w:rsidRPr="00D24919">
        <w:rPr>
          <w:sz w:val="22"/>
          <w:szCs w:val="22"/>
          <w:lang w:val="en-GB"/>
        </w:rPr>
        <w:t xml:space="preserve"> </w:t>
      </w:r>
      <w:r w:rsidR="00E612E2" w:rsidRPr="00D24919">
        <w:rPr>
          <w:sz w:val="22"/>
          <w:szCs w:val="22"/>
          <w:lang w:val="en-GB"/>
        </w:rPr>
        <w:t xml:space="preserve">Increasing efficiency and quality remains essential, with initiatives aimed at </w:t>
      </w:r>
      <w:r w:rsidR="00E612E2" w:rsidRPr="00D24919">
        <w:rPr>
          <w:b/>
          <w:bCs/>
          <w:sz w:val="22"/>
          <w:szCs w:val="22"/>
          <w:lang w:val="en-GB"/>
        </w:rPr>
        <w:t>modernizing legal processes, digitalizing justice institutions, and promoting alternative dispute resolution (ADR)</w:t>
      </w:r>
      <w:r w:rsidR="00E612E2" w:rsidRPr="00D24919">
        <w:rPr>
          <w:sz w:val="22"/>
          <w:szCs w:val="22"/>
          <w:lang w:val="en-GB"/>
        </w:rPr>
        <w:t xml:space="preserve"> to reduce delays and improve service delivery. However, measuring the </w:t>
      </w:r>
      <w:r w:rsidR="00E612E2" w:rsidRPr="00D24919">
        <w:rPr>
          <w:b/>
          <w:bCs/>
          <w:sz w:val="22"/>
          <w:szCs w:val="22"/>
          <w:lang w:val="en-GB"/>
        </w:rPr>
        <w:t>direct impact of these reforms on overall justice system efficiency and quality</w:t>
      </w:r>
      <w:r w:rsidR="00E612E2" w:rsidRPr="00D24919">
        <w:rPr>
          <w:sz w:val="22"/>
          <w:szCs w:val="22"/>
          <w:lang w:val="en-GB"/>
        </w:rPr>
        <w:t xml:space="preserve"> will be challenging, as systemic changes take time and are influenced by multiple external factors</w:t>
      </w:r>
      <w:r w:rsidR="00E612E2">
        <w:t>.</w:t>
      </w:r>
      <w:r w:rsidRPr="005D6250">
        <w:rPr>
          <w:sz w:val="22"/>
          <w:szCs w:val="22"/>
          <w:lang w:val="en-GB"/>
        </w:rPr>
        <w:t xml:space="preserve"> JURE has already laid the foundation for such continuity by supporting critical infrastructure, including safe houses for the National Authority for the Protection of Victims of Crimes and Witnesses and the establishment of courtrooms for juvenile justice and virtual rooms for GBV victims and witnesses. If these structures are effectively integrated into national frameworks and supported by adequate operating budgets and human resources, they will serve as sustainable pillars for the justice sector. This will ensure long-term improvements in legal protections, access to justice for vulnerable populations, and the continued effectiveness of institutional reforms initiated by JURE.</w:t>
      </w:r>
    </w:p>
    <w:p w14:paraId="055B807E" w14:textId="77777777" w:rsidR="00D9286A" w:rsidRPr="007A5C5F" w:rsidRDefault="005D6250" w:rsidP="003724A8">
      <w:pPr>
        <w:pStyle w:val="ListParagraph"/>
        <w:numPr>
          <w:ilvl w:val="0"/>
          <w:numId w:val="49"/>
        </w:numPr>
        <w:jc w:val="both"/>
        <w:rPr>
          <w:sz w:val="22"/>
          <w:szCs w:val="22"/>
          <w:lang w:val="en-GB"/>
        </w:rPr>
      </w:pPr>
      <w:r w:rsidRPr="005D6250">
        <w:rPr>
          <w:sz w:val="22"/>
          <w:szCs w:val="22"/>
          <w:lang w:val="en-GB"/>
        </w:rPr>
        <w:t>Sustained investment in these areas, coupled with robust monitoring and evaluation, is critical to ensuring the long-term sustainability and scalability of these reforms. The impact of reforms in the justice system is a long-term process, and as a matter of practice, projects like JURE often phase out while ambitious, intended impacts are still unfolding. This highlights the importance of ensuring that national partners have a strong understanding of how to measure impact effectively. To achieve this, incorporating SMART impact-level indicators, as well as establishing baselines, data collection mechanisms, and measurable targets, is essential. Conducting country studies to track progress will further enhance the ability to measure and sustain justice sector reforms over time</w:t>
      </w:r>
      <w:r w:rsidR="00D9286A" w:rsidRPr="007A5C5F">
        <w:rPr>
          <w:sz w:val="22"/>
          <w:szCs w:val="22"/>
          <w:lang w:val="en-GB"/>
        </w:rPr>
        <w:t>.</w:t>
      </w:r>
    </w:p>
    <w:p w14:paraId="760474AE" w14:textId="3A78E924" w:rsidR="00D9286A" w:rsidRPr="007A5C5F" w:rsidRDefault="00275378" w:rsidP="00D9286A">
      <w:pPr>
        <w:pStyle w:val="ListParagraph"/>
        <w:numPr>
          <w:ilvl w:val="0"/>
          <w:numId w:val="49"/>
        </w:numPr>
        <w:jc w:val="both"/>
        <w:rPr>
          <w:sz w:val="22"/>
          <w:szCs w:val="22"/>
          <w:lang w:val="en-GB"/>
        </w:rPr>
      </w:pPr>
      <w:r w:rsidRPr="007A5C5F">
        <w:rPr>
          <w:b/>
          <w:bCs/>
          <w:lang w:val="en-GB"/>
        </w:rPr>
        <w:t>Sustainability</w:t>
      </w:r>
      <w:r w:rsidR="00D9286A" w:rsidRPr="007A5C5F">
        <w:rPr>
          <w:b/>
          <w:bCs/>
          <w:lang w:val="en-GB"/>
        </w:rPr>
        <w:t>.</w:t>
      </w:r>
      <w:r w:rsidR="00D9286A" w:rsidRPr="007A5C5F">
        <w:rPr>
          <w:i/>
          <w:iCs/>
          <w:lang w:val="en-GB"/>
        </w:rPr>
        <w:t xml:space="preserve"> </w:t>
      </w:r>
      <w:r w:rsidR="00D9286A" w:rsidRPr="007A5C5F">
        <w:rPr>
          <w:sz w:val="22"/>
          <w:szCs w:val="22"/>
          <w:lang w:val="en-GB"/>
        </w:rPr>
        <w:t xml:space="preserve">The abrupt cancellation of several key activities under the JURE project </w:t>
      </w:r>
      <w:r w:rsidR="00DB5929">
        <w:rPr>
          <w:sz w:val="22"/>
          <w:szCs w:val="22"/>
        </w:rPr>
        <w:t>f</w:t>
      </w:r>
      <w:r w:rsidR="00DB5929" w:rsidRPr="00393438">
        <w:rPr>
          <w:sz w:val="22"/>
          <w:szCs w:val="22"/>
        </w:rPr>
        <w:t>ollowing the recommendations of the Results-Oriented Monitoring in April 2024</w:t>
      </w:r>
      <w:r w:rsidR="00DB5929">
        <w:rPr>
          <w:sz w:val="22"/>
          <w:szCs w:val="22"/>
        </w:rPr>
        <w:t>, and i</w:t>
      </w:r>
      <w:r w:rsidR="00DB5929" w:rsidRPr="00DB5929">
        <w:rPr>
          <w:sz w:val="22"/>
          <w:szCs w:val="22"/>
        </w:rPr>
        <w:t xml:space="preserve">n line with </w:t>
      </w:r>
      <w:r w:rsidR="00DB5929" w:rsidRPr="00EE71C7">
        <w:rPr>
          <w:sz w:val="22"/>
          <w:szCs w:val="22"/>
        </w:rPr>
        <w:t>EU</w:t>
      </w:r>
      <w:r w:rsidR="00DB5929">
        <w:rPr>
          <w:sz w:val="22"/>
          <w:szCs w:val="22"/>
        </w:rPr>
        <w:t xml:space="preserve">, </w:t>
      </w:r>
      <w:r w:rsidR="00DB5929" w:rsidRPr="00EE71C7">
        <w:rPr>
          <w:sz w:val="22"/>
          <w:szCs w:val="22"/>
        </w:rPr>
        <w:t>MOJ directives</w:t>
      </w:r>
      <w:r w:rsidR="00DB5929" w:rsidRPr="00DB5929">
        <w:rPr>
          <w:sz w:val="22"/>
          <w:szCs w:val="22"/>
        </w:rPr>
        <w:t xml:space="preserve"> and </w:t>
      </w:r>
      <w:r w:rsidR="00DB5929" w:rsidRPr="00EE71C7">
        <w:rPr>
          <w:sz w:val="22"/>
          <w:szCs w:val="22"/>
        </w:rPr>
        <w:t>IMF recommendations</w:t>
      </w:r>
      <w:r w:rsidR="00DB5929" w:rsidRPr="00DB5929">
        <w:rPr>
          <w:sz w:val="22"/>
          <w:szCs w:val="22"/>
        </w:rPr>
        <w:t xml:space="preserve">, </w:t>
      </w:r>
      <w:r w:rsidR="00EC57B7">
        <w:rPr>
          <w:sz w:val="22"/>
          <w:szCs w:val="22"/>
        </w:rPr>
        <w:t>on</w:t>
      </w:r>
      <w:r w:rsidR="00DB5929">
        <w:rPr>
          <w:sz w:val="22"/>
          <w:szCs w:val="22"/>
        </w:rPr>
        <w:t xml:space="preserve"> some occasions </w:t>
      </w:r>
      <w:r w:rsidR="00D9286A" w:rsidRPr="007A5C5F">
        <w:rPr>
          <w:sz w:val="22"/>
          <w:szCs w:val="22"/>
          <w:lang w:val="en-GB"/>
        </w:rPr>
        <w:t>has created risks to the sustainability of its outcomes, undermining its transformative potential in advancing human rights, gender equality, and access to justice. These discontinued initiatives, which included capacity-building programs, critical research, and policy advocacy efforts, were integral to embedding systemic changes within the justice sector. The disruption has not only left some national partners unprepared to sustain these efforts but also strained the professional relationship between the JURE team and key stakeholders. Without a structured exit strategy or adequate communication, the sudden withdrawal has weakened institutional momentum and trust, potentially leaving the justice ecosystem vulnerable to stagnation or regression (Finding 11).</w:t>
      </w:r>
    </w:p>
    <w:p w14:paraId="23FD3DB6" w14:textId="77777777" w:rsidR="00D9286A" w:rsidRPr="00D9286A" w:rsidRDefault="00D9286A" w:rsidP="00D9286A">
      <w:pPr>
        <w:pStyle w:val="ListParagraph"/>
        <w:numPr>
          <w:ilvl w:val="0"/>
          <w:numId w:val="49"/>
        </w:numPr>
        <w:jc w:val="both"/>
        <w:rPr>
          <w:sz w:val="22"/>
          <w:szCs w:val="22"/>
          <w:lang w:val="en-GB"/>
        </w:rPr>
      </w:pPr>
      <w:r w:rsidRPr="00D9286A">
        <w:rPr>
          <w:sz w:val="22"/>
          <w:szCs w:val="22"/>
          <w:lang w:val="en-GB"/>
        </w:rPr>
        <w:t>To ensure sustainability, a phase-out strategy should be developed at least one year before the end of the project, with the final six months dedicated to its realization. This approach would allow for the transfer of responsibility for ongoing activities to national counterparts and the completion of key outputs, such as the preparation of training curricula and the development of information materials for later dissemination. The sustainability of JURE’s outcomes is contingent on the institutionalization of its reforms, long-term funding commitments, and the capacity of national stakeholders to independently sustain key initiatives.</w:t>
      </w:r>
    </w:p>
    <w:p w14:paraId="45352464" w14:textId="77777777" w:rsidR="00D9286A" w:rsidRPr="00D9286A" w:rsidRDefault="00D9286A" w:rsidP="00D9286A">
      <w:pPr>
        <w:pStyle w:val="ListParagraph"/>
        <w:numPr>
          <w:ilvl w:val="0"/>
          <w:numId w:val="49"/>
        </w:numPr>
        <w:jc w:val="both"/>
        <w:rPr>
          <w:sz w:val="22"/>
          <w:szCs w:val="22"/>
          <w:lang w:val="en-GB"/>
        </w:rPr>
      </w:pPr>
      <w:r w:rsidRPr="00D9286A">
        <w:rPr>
          <w:sz w:val="22"/>
          <w:szCs w:val="22"/>
          <w:lang w:val="en-GB"/>
        </w:rPr>
        <w:lastRenderedPageBreak/>
        <w:t>The project has made notable progress in strengthening institutional capacity, particularly through the proposed expansion of Sri Lanka’s legal aid system, leveraging decentralized models such as paralegal networks and law student-run clinics. This model presents a cost-effective and scalable approach to improving access to justice, but its long-term viability depends on sustained funding, robust training mechanisms, and strong institutional oversight. Similarly, JURE’s contributions to legislative reforms, including amendments to the Children and Young Persons Ordinance and the Victim and Witness Protection Act, establish a durable legal framework for protecting vulnerable groups. However, their effective implementation will require ongoing technical and financial support.</w:t>
      </w:r>
    </w:p>
    <w:p w14:paraId="22C1EFCA" w14:textId="77777777" w:rsidR="00D9286A" w:rsidRPr="00D9286A" w:rsidRDefault="00D9286A" w:rsidP="00D9286A">
      <w:pPr>
        <w:pStyle w:val="ListParagraph"/>
        <w:numPr>
          <w:ilvl w:val="0"/>
          <w:numId w:val="49"/>
        </w:numPr>
        <w:jc w:val="both"/>
        <w:rPr>
          <w:sz w:val="22"/>
          <w:szCs w:val="22"/>
          <w:lang w:val="en-GB"/>
        </w:rPr>
      </w:pPr>
      <w:r w:rsidRPr="00D9286A">
        <w:rPr>
          <w:sz w:val="22"/>
          <w:szCs w:val="22"/>
          <w:lang w:val="en-GB"/>
        </w:rPr>
        <w:t>Despite these achievements, the discontinuation of key activities poses serious risks to the sustainability of JURE’s achievements. The termination of initiatives such as the higher diploma on human rights-based prison administration, the development of a code of ethics for prison staff, and the establishment of a fundamental rights judgments database has disrupted institutional capacity-building efforts. Additionally, the cancellation of research support for policy reforms and training workshops for parliamentarians and the media weakens the project’s ability to drive systemic change and maintain momentum in human rights and access to justice reforms. Without alternative pathways to sustain these initiatives, national partners face significant challenges in securing the necessary resources to preserve the progress made under JURE (Finding 11).</w:t>
      </w:r>
    </w:p>
    <w:p w14:paraId="0518DB99" w14:textId="77777777" w:rsidR="00D9286A" w:rsidRPr="007A5C5F" w:rsidRDefault="00D9286A" w:rsidP="00D9286A">
      <w:pPr>
        <w:pStyle w:val="ListParagraph"/>
        <w:numPr>
          <w:ilvl w:val="0"/>
          <w:numId w:val="49"/>
        </w:numPr>
        <w:jc w:val="both"/>
        <w:rPr>
          <w:sz w:val="22"/>
          <w:szCs w:val="22"/>
          <w:lang w:val="en-GB"/>
        </w:rPr>
      </w:pPr>
      <w:r w:rsidRPr="00D9286A">
        <w:rPr>
          <w:sz w:val="22"/>
          <w:szCs w:val="22"/>
          <w:lang w:val="en-GB"/>
        </w:rPr>
        <w:t>Despite these setbacks, certain interventions, such as the LLM in Environmental Law, demonstrate sustainable impact by fostering long-term legal expertise in a critical and underdeveloped field. By training a new generation of environmental lawyers, the program not only addresses an urgent national need but also ensures that the legal system is equipped to handle emerging environmental justice challenges. This initiative exemplifies how strategic investments in human capital can create lasting institutional capacity. However, to maximize the sustainability of JURE’s broader justice sector reforms, a structured exit strategy, continued engagement with national stakeholders, and efforts to restore or transition discontinued activities will be essential in preventing regression and ensuring the long-term resilience of justice sector improvements (Finding 10).</w:t>
      </w:r>
    </w:p>
    <w:p w14:paraId="2CCD3CC0" w14:textId="77777777" w:rsidR="00D9286A" w:rsidRPr="007A5C5F" w:rsidRDefault="00D9286A" w:rsidP="00D9286A">
      <w:pPr>
        <w:pStyle w:val="ListParagraph"/>
        <w:numPr>
          <w:ilvl w:val="0"/>
          <w:numId w:val="49"/>
        </w:numPr>
        <w:jc w:val="both"/>
        <w:rPr>
          <w:sz w:val="22"/>
          <w:szCs w:val="22"/>
          <w:lang w:val="en-GB"/>
        </w:rPr>
      </w:pPr>
      <w:r w:rsidRPr="007A5C5F">
        <w:rPr>
          <w:b/>
          <w:bCs/>
          <w:sz w:val="22"/>
          <w:szCs w:val="22"/>
          <w:lang w:val="en-GB"/>
        </w:rPr>
        <w:t>Sustainability.</w:t>
      </w:r>
      <w:r w:rsidRPr="007A5C5F">
        <w:rPr>
          <w:sz w:val="22"/>
          <w:szCs w:val="22"/>
          <w:lang w:val="en-GB"/>
        </w:rPr>
        <w:t xml:space="preserve"> The JURE project has made notable progress in strengthening institutional capacity, fostering legal reforms, and enhancing access to justice. The expansion of Sri Lanka’s legal aid system, leveraging decentralized models such as paralegal networks and law student-run clinics, represents a cost-effective and scalable approach to justice sector reform. Additionally, the project’s contributions to legislative reforms, including amendments to the Children and Young Persons Ordinance and the Victim and Witness Protection Act, establish a durable legal framework for protecting vulnerable groups. </w:t>
      </w:r>
    </w:p>
    <w:p w14:paraId="53CC418F" w14:textId="77777777" w:rsidR="00D9286A" w:rsidRPr="007A5C5F" w:rsidRDefault="00D9286A" w:rsidP="00D9286A">
      <w:pPr>
        <w:pStyle w:val="ListParagraph"/>
        <w:numPr>
          <w:ilvl w:val="0"/>
          <w:numId w:val="49"/>
        </w:numPr>
        <w:jc w:val="both"/>
        <w:rPr>
          <w:sz w:val="22"/>
          <w:szCs w:val="22"/>
          <w:lang w:val="en-GB"/>
        </w:rPr>
      </w:pPr>
      <w:r w:rsidRPr="007A5C5F">
        <w:rPr>
          <w:sz w:val="22"/>
          <w:szCs w:val="22"/>
          <w:lang w:val="en-GB"/>
        </w:rPr>
        <w:t>Furthermore, certain interventions, such as the LLM in Environmental Law, demonstrate sustainable impact by fostering long-term legal expertise in a critical and underdeveloped field, ensuring that the legal system is equipped to handle emerging environmental justice challenges (Findings 10 &amp; 11).</w:t>
      </w:r>
    </w:p>
    <w:p w14:paraId="285BB660" w14:textId="77777777" w:rsidR="00D9286A" w:rsidRPr="007A5C5F" w:rsidRDefault="00D9286A" w:rsidP="00D9286A">
      <w:pPr>
        <w:pStyle w:val="ListParagraph"/>
        <w:numPr>
          <w:ilvl w:val="0"/>
          <w:numId w:val="49"/>
        </w:numPr>
        <w:jc w:val="both"/>
        <w:rPr>
          <w:sz w:val="22"/>
          <w:szCs w:val="22"/>
          <w:lang w:val="en-GB"/>
        </w:rPr>
      </w:pPr>
      <w:r w:rsidRPr="007A5C5F">
        <w:rPr>
          <w:sz w:val="22"/>
          <w:szCs w:val="22"/>
          <w:lang w:val="en-GB"/>
        </w:rPr>
        <w:t xml:space="preserve">Despite these achievements, the discontinuation of critical activities poses serious risks. The termination of initiatives such as the higher diploma on human rights-based prison administration, the development of a code of ethics for prison staff, and the establishment of a fundamental rights judgments database has disrupted institutional capacity-building. </w:t>
      </w:r>
    </w:p>
    <w:p w14:paraId="06BC8D2E" w14:textId="77777777" w:rsidR="00D9286A" w:rsidRPr="007A5C5F" w:rsidRDefault="00D9286A" w:rsidP="00D9286A">
      <w:pPr>
        <w:pStyle w:val="ListParagraph"/>
        <w:numPr>
          <w:ilvl w:val="0"/>
          <w:numId w:val="49"/>
        </w:numPr>
        <w:jc w:val="both"/>
        <w:rPr>
          <w:sz w:val="22"/>
          <w:szCs w:val="22"/>
          <w:lang w:val="en-GB"/>
        </w:rPr>
      </w:pPr>
      <w:r w:rsidRPr="007A5C5F">
        <w:rPr>
          <w:sz w:val="22"/>
          <w:szCs w:val="22"/>
          <w:lang w:val="en-GB"/>
        </w:rPr>
        <w:t>Additionally, the cancellation of research support for policy reforms and training workshops for parliamentarians and the media weakens efforts to drive systemic change in human rights and access to justice. Without alternative pathways, national partners face challenges in securing the resources necessary to preserve JURE’s progress (Finding 11).</w:t>
      </w:r>
    </w:p>
    <w:p w14:paraId="46239CD7" w14:textId="1B890DC6" w:rsidR="00D9286A" w:rsidRPr="007A5C5F" w:rsidRDefault="00D9286A" w:rsidP="00D9286A">
      <w:pPr>
        <w:pStyle w:val="ListParagraph"/>
        <w:numPr>
          <w:ilvl w:val="0"/>
          <w:numId w:val="49"/>
        </w:numPr>
        <w:jc w:val="both"/>
        <w:rPr>
          <w:sz w:val="22"/>
          <w:szCs w:val="22"/>
          <w:lang w:val="en-GB"/>
        </w:rPr>
      </w:pPr>
      <w:r w:rsidRPr="007A5C5F">
        <w:rPr>
          <w:sz w:val="22"/>
          <w:szCs w:val="22"/>
          <w:lang w:val="en-GB"/>
        </w:rPr>
        <w:t xml:space="preserve">However, to maximize the sustainability of JURE’s reforms, a structured exit strategy and continued engagement with national stakeholders are essential. At present, the exit strategy remains unclear. A tailored approach is required, incorporating lessons learned from past initiatives that faced sustainability challenges. For example, it is necessary to </w:t>
      </w:r>
      <w:r w:rsidR="007A5C5F" w:rsidRPr="007A5C5F">
        <w:rPr>
          <w:sz w:val="22"/>
          <w:szCs w:val="22"/>
          <w:lang w:val="en-GB"/>
        </w:rPr>
        <w:t>analyse</w:t>
      </w:r>
      <w:r w:rsidRPr="007A5C5F">
        <w:rPr>
          <w:sz w:val="22"/>
          <w:szCs w:val="22"/>
          <w:lang w:val="en-GB"/>
        </w:rPr>
        <w:t xml:space="preserve"> why EU-funded support for legal aid and pro bono services in Sri Lanka was not sustained, why previous legal aid provider mapping was not effectively utilized, and why the electronic case management system developed for the justice sector was never fully integrated into a comprehensive information management system connecting law enforcement, the judiciary, the bar, and penitentiary institutions.</w:t>
      </w:r>
    </w:p>
    <w:p w14:paraId="5F44D133" w14:textId="6C7526BB" w:rsidR="00D9286A" w:rsidRPr="00D9286A" w:rsidRDefault="00D9286A" w:rsidP="00D9286A">
      <w:pPr>
        <w:pStyle w:val="ListParagraph"/>
        <w:numPr>
          <w:ilvl w:val="0"/>
          <w:numId w:val="49"/>
        </w:numPr>
        <w:jc w:val="both"/>
        <w:rPr>
          <w:sz w:val="22"/>
          <w:szCs w:val="22"/>
          <w:lang w:val="en-GB"/>
        </w:rPr>
      </w:pPr>
      <w:proofErr w:type="gramStart"/>
      <w:r w:rsidRPr="00D9286A">
        <w:rPr>
          <w:sz w:val="22"/>
          <w:szCs w:val="22"/>
          <w:lang w:val="en-GB"/>
        </w:rPr>
        <w:t>The  cancellation</w:t>
      </w:r>
      <w:proofErr w:type="gramEnd"/>
      <w:r w:rsidRPr="00D9286A">
        <w:rPr>
          <w:sz w:val="22"/>
          <w:szCs w:val="22"/>
          <w:lang w:val="en-GB"/>
        </w:rPr>
        <w:t xml:space="preserve"> of several key activities under the JURE project has created risks to the sustainability of its outcomes, potentially undermining its transformative impact on human rights, gender equality, and access to justice. These discontinued initiatives—including capacity-building programs, critical research, and policy advocacy efforts—were integral to embedding systemic changes within the justice sector. The </w:t>
      </w:r>
      <w:r w:rsidRPr="00D9286A">
        <w:rPr>
          <w:sz w:val="22"/>
          <w:szCs w:val="22"/>
          <w:lang w:val="en-GB"/>
        </w:rPr>
        <w:lastRenderedPageBreak/>
        <w:t>disruption has left some national partners unprepared to sustain these efforts and strained relationships between the JURE team and key stakeholders (Findings 10 &amp; 11).</w:t>
      </w:r>
    </w:p>
    <w:p w14:paraId="798D8CA7" w14:textId="6C385EF9" w:rsidR="00275378" w:rsidRPr="007A5C5F" w:rsidRDefault="00D9286A" w:rsidP="003724A8">
      <w:pPr>
        <w:pStyle w:val="ListParagraph"/>
        <w:numPr>
          <w:ilvl w:val="0"/>
          <w:numId w:val="49"/>
        </w:numPr>
        <w:jc w:val="both"/>
        <w:rPr>
          <w:sz w:val="22"/>
          <w:szCs w:val="22"/>
          <w:lang w:val="en-GB"/>
        </w:rPr>
      </w:pPr>
      <w:r w:rsidRPr="00D9286A">
        <w:rPr>
          <w:sz w:val="22"/>
          <w:szCs w:val="22"/>
          <w:lang w:val="en-GB"/>
        </w:rPr>
        <w:t>To ensure sustainability, a phase-out strategy should be developed at least one year before the project’s conclusion, with the final six months dedicated to its implementation. This would facilitate the transfer of responsibilities to national counterparts and the completion of key outputs, such as training curricula</w:t>
      </w:r>
      <w:r w:rsidR="00FF63F7" w:rsidRPr="007A5C5F">
        <w:rPr>
          <w:sz w:val="22"/>
          <w:szCs w:val="22"/>
          <w:lang w:val="en-GB"/>
        </w:rPr>
        <w:t>,</w:t>
      </w:r>
      <w:r w:rsidRPr="00D9286A">
        <w:rPr>
          <w:sz w:val="22"/>
          <w:szCs w:val="22"/>
          <w:lang w:val="en-GB"/>
        </w:rPr>
        <w:t xml:space="preserve"> and information materials. The sustainability of JURE’s outcomes depends on the institutionalization of its reforms, long-term funding commitments, and the capacity of national stakeholders to sustain key initiatives independently (Finding 10).</w:t>
      </w:r>
    </w:p>
    <w:p w14:paraId="2D6189FE" w14:textId="0C4C0AF9" w:rsidR="0092759D" w:rsidRPr="007A5C5F" w:rsidRDefault="0092759D" w:rsidP="0092759D">
      <w:pPr>
        <w:pStyle w:val="ListParagraph"/>
        <w:numPr>
          <w:ilvl w:val="0"/>
          <w:numId w:val="49"/>
        </w:numPr>
        <w:jc w:val="both"/>
        <w:rPr>
          <w:b/>
          <w:bCs/>
          <w:sz w:val="22"/>
          <w:szCs w:val="22"/>
          <w:lang w:val="en-GB"/>
        </w:rPr>
      </w:pPr>
      <w:r w:rsidRPr="007A5C5F">
        <w:rPr>
          <w:b/>
          <w:bCs/>
          <w:sz w:val="22"/>
          <w:szCs w:val="22"/>
          <w:lang w:val="en-GB"/>
        </w:rPr>
        <w:t xml:space="preserve">Human Rights, Gender Equality, Disability Inclusion </w:t>
      </w:r>
      <w:r w:rsidR="007A5C5F" w:rsidRPr="007A5C5F">
        <w:rPr>
          <w:b/>
          <w:bCs/>
          <w:sz w:val="22"/>
          <w:szCs w:val="22"/>
          <w:lang w:val="en-GB"/>
        </w:rPr>
        <w:t>and</w:t>
      </w:r>
      <w:r w:rsidRPr="007A5C5F">
        <w:rPr>
          <w:b/>
          <w:bCs/>
          <w:sz w:val="22"/>
          <w:szCs w:val="22"/>
          <w:lang w:val="en-GB"/>
        </w:rPr>
        <w:t xml:space="preserve"> Leaving No One Behind. </w:t>
      </w:r>
      <w:r w:rsidRPr="007A5C5F">
        <w:rPr>
          <w:sz w:val="22"/>
          <w:szCs w:val="22"/>
          <w:lang w:val="en-GB"/>
        </w:rPr>
        <w:t xml:space="preserve">The JURE Project has demonstrated a strong commitment to integrating gender equality, human rights, disability inclusion, and the principle of leaving no one behind in its interventions, but gaps remain in fully institutionalizing these approaches. The project’s </w:t>
      </w:r>
      <w:r w:rsidRPr="007A5C5F">
        <w:rPr>
          <w:rFonts w:eastAsia="AppleGothic"/>
          <w:b/>
          <w:bCs/>
          <w:sz w:val="22"/>
          <w:szCs w:val="22"/>
          <w:lang w:val="en-GB"/>
        </w:rPr>
        <w:t>Gender Action Plan (GAP)</w:t>
      </w:r>
      <w:r w:rsidRPr="007A5C5F">
        <w:rPr>
          <w:sz w:val="22"/>
          <w:szCs w:val="22"/>
          <w:lang w:val="en-GB"/>
        </w:rPr>
        <w:t xml:space="preserve"> provides a structured framework for advancing gender-sensitive justice reforms, with measurable progress in legal aid services, judicial capacity-building, and policy advocacy. Notable achievements include training judicial officers on child protection, amending legal frameworks to enhance gender equity, and improving infrastructure for gender-sensitive justice delivery. However, while progress has been made in </w:t>
      </w:r>
      <w:r w:rsidRPr="007A5C5F">
        <w:rPr>
          <w:rFonts w:eastAsia="AppleGothic"/>
          <w:b/>
          <w:bCs/>
          <w:sz w:val="22"/>
          <w:szCs w:val="22"/>
          <w:lang w:val="en-GB"/>
        </w:rPr>
        <w:t>legal reforms, community engagement, and service expansion</w:t>
      </w:r>
      <w:r w:rsidRPr="007A5C5F">
        <w:rPr>
          <w:sz w:val="22"/>
          <w:szCs w:val="22"/>
          <w:lang w:val="en-GB"/>
        </w:rPr>
        <w:t xml:space="preserve">, systemic barriers such as </w:t>
      </w:r>
      <w:r w:rsidRPr="007A5C5F">
        <w:rPr>
          <w:rFonts w:eastAsia="AppleGothic"/>
          <w:b/>
          <w:bCs/>
          <w:sz w:val="22"/>
          <w:szCs w:val="22"/>
          <w:lang w:val="en-GB"/>
        </w:rPr>
        <w:t>institutional biases, cultural norms, and underrepresentation of women in law enforcement and justice sector leadership</w:t>
      </w:r>
      <w:r w:rsidRPr="007A5C5F">
        <w:rPr>
          <w:sz w:val="22"/>
          <w:szCs w:val="22"/>
          <w:lang w:val="en-GB"/>
        </w:rPr>
        <w:t xml:space="preserve"> continue to limit full gender integration (Finding 13).</w:t>
      </w:r>
    </w:p>
    <w:p w14:paraId="11F7A4A0" w14:textId="77777777" w:rsidR="0092759D" w:rsidRPr="00BE305F" w:rsidRDefault="0092759D" w:rsidP="00C067E7">
      <w:pPr>
        <w:pStyle w:val="ListParagraph"/>
        <w:numPr>
          <w:ilvl w:val="0"/>
          <w:numId w:val="49"/>
        </w:numPr>
        <w:jc w:val="both"/>
        <w:rPr>
          <w:sz w:val="22"/>
          <w:szCs w:val="22"/>
          <w:lang w:val="en-GB"/>
        </w:rPr>
      </w:pPr>
      <w:r w:rsidRPr="00BE305F">
        <w:rPr>
          <w:sz w:val="22"/>
          <w:szCs w:val="22"/>
          <w:lang w:val="en-GB"/>
        </w:rPr>
        <w:t xml:space="preserve">Despite these advancements, the project’s 2024 work plan </w:t>
      </w:r>
      <w:r w:rsidRPr="00BE305F">
        <w:rPr>
          <w:rFonts w:eastAsia="AppleGothic"/>
          <w:b/>
          <w:bCs/>
          <w:sz w:val="22"/>
          <w:szCs w:val="22"/>
          <w:lang w:val="en-GB"/>
        </w:rPr>
        <w:t>places heavy emphasis on capacity-building without sufficiently addressing structural barriers and accountability mechanisms</w:t>
      </w:r>
      <w:r w:rsidRPr="00BE305F">
        <w:rPr>
          <w:sz w:val="22"/>
          <w:szCs w:val="22"/>
          <w:lang w:val="en-GB"/>
        </w:rPr>
        <w:t xml:space="preserve"> within justice institutions. Limited funding for economic empowerment programs and </w:t>
      </w:r>
      <w:r w:rsidRPr="00BE305F">
        <w:rPr>
          <w:rFonts w:eastAsia="AppleGothic"/>
          <w:b/>
          <w:bCs/>
          <w:sz w:val="22"/>
          <w:szCs w:val="22"/>
          <w:lang w:val="en-GB"/>
        </w:rPr>
        <w:t>delays in implementing victim-sensitive infrastructure risk slowing progress</w:t>
      </w:r>
      <w:r w:rsidRPr="00BE305F">
        <w:rPr>
          <w:sz w:val="22"/>
          <w:szCs w:val="22"/>
          <w:lang w:val="en-GB"/>
        </w:rPr>
        <w:t xml:space="preserve"> toward gender-responsive justice outcomes (Finding 14). Additionally, </w:t>
      </w:r>
      <w:r w:rsidRPr="00BE305F">
        <w:rPr>
          <w:rFonts w:eastAsia="AppleGothic"/>
          <w:b/>
          <w:bCs/>
          <w:sz w:val="22"/>
          <w:szCs w:val="22"/>
          <w:lang w:val="en-GB"/>
        </w:rPr>
        <w:t>JURE’s efforts to economically empower women, particularly single mothers, have had a transformative impact on preventing institutionalization of children</w:t>
      </w:r>
      <w:r w:rsidRPr="00BE305F">
        <w:rPr>
          <w:sz w:val="22"/>
          <w:szCs w:val="22"/>
          <w:lang w:val="en-GB"/>
        </w:rPr>
        <w:t>, yet these interventions are not fully documented within the GAP, reflecting a missed opportunity to highlight the project’s broader contributions to gender equity (Finding 14).</w:t>
      </w:r>
    </w:p>
    <w:p w14:paraId="64734F50" w14:textId="3EA9EA06" w:rsidR="0092759D" w:rsidRPr="00BE305F" w:rsidRDefault="0092759D" w:rsidP="00C067E7">
      <w:pPr>
        <w:pStyle w:val="ListParagraph"/>
        <w:numPr>
          <w:ilvl w:val="0"/>
          <w:numId w:val="49"/>
        </w:numPr>
        <w:jc w:val="both"/>
        <w:rPr>
          <w:sz w:val="22"/>
          <w:szCs w:val="22"/>
          <w:lang w:val="en-GB"/>
        </w:rPr>
      </w:pPr>
      <w:r w:rsidRPr="00BE305F">
        <w:rPr>
          <w:sz w:val="22"/>
          <w:szCs w:val="22"/>
          <w:lang w:val="en-GB"/>
        </w:rPr>
        <w:t xml:space="preserve">One of the most critical gaps identified is the </w:t>
      </w:r>
      <w:r w:rsidRPr="00BE305F">
        <w:rPr>
          <w:rFonts w:eastAsia="AppleGothic"/>
          <w:b/>
          <w:bCs/>
          <w:sz w:val="22"/>
          <w:szCs w:val="22"/>
          <w:lang w:val="en-GB"/>
        </w:rPr>
        <w:t>lack of gender-responsive, people-</w:t>
      </w:r>
      <w:r w:rsidR="007A5C5F" w:rsidRPr="00BE305F">
        <w:rPr>
          <w:rFonts w:eastAsia="AppleGothic"/>
          <w:b/>
          <w:bCs/>
          <w:sz w:val="22"/>
          <w:szCs w:val="22"/>
          <w:lang w:val="en-GB"/>
        </w:rPr>
        <w:t>centred</w:t>
      </w:r>
      <w:r w:rsidRPr="00BE305F">
        <w:rPr>
          <w:rFonts w:eastAsia="AppleGothic"/>
          <w:b/>
          <w:bCs/>
          <w:sz w:val="22"/>
          <w:szCs w:val="22"/>
          <w:lang w:val="en-GB"/>
        </w:rPr>
        <w:t xml:space="preserve"> indicators</w:t>
      </w:r>
      <w:r w:rsidRPr="00BE305F">
        <w:rPr>
          <w:sz w:val="22"/>
          <w:szCs w:val="22"/>
          <w:lang w:val="en-GB"/>
        </w:rPr>
        <w:t xml:space="preserve"> in JURE’s monitoring framework. While output-level data on legal aid provision and training participation are available, </w:t>
      </w:r>
      <w:r w:rsidRPr="00BE305F">
        <w:rPr>
          <w:rFonts w:eastAsia="AppleGothic"/>
          <w:b/>
          <w:bCs/>
          <w:sz w:val="22"/>
          <w:szCs w:val="22"/>
          <w:lang w:val="en-GB"/>
        </w:rPr>
        <w:t>current indicators do not sufficiently capture transformative outcomes</w:t>
      </w:r>
      <w:r w:rsidRPr="00BE305F">
        <w:rPr>
          <w:sz w:val="22"/>
          <w:szCs w:val="22"/>
          <w:lang w:val="en-GB"/>
        </w:rPr>
        <w:t>, such as the restoration of women’s rights to property and inheritance. Improved disaggregation of data—particularly in tracking compensation awards, case types, and the long-term impact of legal aid interventions—would significantly enhance the project’s ability to demonstrate meaningful progress in gender justice (Finding 15).</w:t>
      </w:r>
    </w:p>
    <w:p w14:paraId="36B68AF4" w14:textId="77777777" w:rsidR="0092759D" w:rsidRPr="00BE305F" w:rsidRDefault="0092759D" w:rsidP="00C067E7">
      <w:pPr>
        <w:pStyle w:val="ListParagraph"/>
        <w:numPr>
          <w:ilvl w:val="0"/>
          <w:numId w:val="49"/>
        </w:numPr>
        <w:jc w:val="both"/>
        <w:rPr>
          <w:sz w:val="22"/>
          <w:szCs w:val="22"/>
          <w:lang w:val="en-GB"/>
        </w:rPr>
      </w:pPr>
      <w:r w:rsidRPr="00BE305F">
        <w:rPr>
          <w:sz w:val="22"/>
          <w:szCs w:val="22"/>
          <w:lang w:val="en-GB"/>
        </w:rPr>
        <w:t xml:space="preserve">Disability inclusion remains another area requiring strengthened monitoring and reporting mechanisms. While JURE has contributed to advancing disability rights, including </w:t>
      </w:r>
      <w:r w:rsidRPr="00BE305F">
        <w:rPr>
          <w:rFonts w:eastAsia="AppleGothic"/>
          <w:b/>
          <w:bCs/>
          <w:sz w:val="22"/>
          <w:szCs w:val="22"/>
          <w:lang w:val="en-GB"/>
        </w:rPr>
        <w:t>supporting the Human Rights Commission’s work on employment quotas and legal protections</w:t>
      </w:r>
      <w:r w:rsidRPr="00BE305F">
        <w:rPr>
          <w:sz w:val="22"/>
          <w:szCs w:val="22"/>
          <w:lang w:val="en-GB"/>
        </w:rPr>
        <w:t xml:space="preserve">, systematic data collection on persons with disabilities remains limited. </w:t>
      </w:r>
      <w:r w:rsidRPr="00BE305F">
        <w:rPr>
          <w:rFonts w:eastAsia="AppleGothic"/>
          <w:b/>
          <w:bCs/>
          <w:sz w:val="22"/>
          <w:szCs w:val="22"/>
          <w:lang w:val="en-GB"/>
        </w:rPr>
        <w:t>The lack of a structured framework for tracking the justice needs of persons with disabilities, particularly in access to legal aid and judicial proceedings, hinders the ability to evaluate impact and ensure full inclusion</w:t>
      </w:r>
      <w:r w:rsidRPr="00BE305F">
        <w:rPr>
          <w:sz w:val="22"/>
          <w:szCs w:val="22"/>
          <w:lang w:val="en-GB"/>
        </w:rPr>
        <w:t xml:space="preserve"> (Finding 16).</w:t>
      </w:r>
    </w:p>
    <w:p w14:paraId="7D2928B6" w14:textId="4B94D35C" w:rsidR="0092759D" w:rsidRPr="00C900FD" w:rsidRDefault="00254A44" w:rsidP="00C900FD">
      <w:pPr>
        <w:pStyle w:val="ListParagraph"/>
        <w:numPr>
          <w:ilvl w:val="0"/>
          <w:numId w:val="49"/>
        </w:numPr>
        <w:jc w:val="both"/>
        <w:rPr>
          <w:sz w:val="22"/>
          <w:szCs w:val="22"/>
          <w:lang w:val="en-GB"/>
        </w:rPr>
      </w:pPr>
      <w:r w:rsidRPr="007A5C5F">
        <w:rPr>
          <w:sz w:val="22"/>
          <w:szCs w:val="22"/>
          <w:lang w:val="en-GB"/>
        </w:rPr>
        <w:t>W</w:t>
      </w:r>
      <w:r w:rsidR="0092759D" w:rsidRPr="00BE305F">
        <w:rPr>
          <w:sz w:val="22"/>
          <w:szCs w:val="22"/>
          <w:lang w:val="en-GB"/>
        </w:rPr>
        <w:t xml:space="preserve">hile JURE has laid a strong foundation for gender equality, human rights, and disability inclusion, </w:t>
      </w:r>
      <w:r w:rsidR="0092759D" w:rsidRPr="00BE305F">
        <w:rPr>
          <w:rFonts w:eastAsia="AppleGothic"/>
          <w:b/>
          <w:bCs/>
          <w:sz w:val="22"/>
          <w:szCs w:val="22"/>
          <w:lang w:val="en-GB"/>
        </w:rPr>
        <w:t>its impact could be significantly enhanced by strengthening data-driven decision-making, ensuring full implementation of gender-sensitive justice reforms, and addressing structural barriers to inclusion</w:t>
      </w:r>
      <w:r w:rsidR="0092759D" w:rsidRPr="00BE305F">
        <w:rPr>
          <w:sz w:val="22"/>
          <w:szCs w:val="22"/>
          <w:lang w:val="en-GB"/>
        </w:rPr>
        <w:t>. Institutionalizing these efforts through improved monitoring systems, sustained funding commitments, and strengthened accountability frameworks will be essential to achieving long-term transformative change.</w:t>
      </w:r>
    </w:p>
    <w:p w14:paraId="6938EC8C" w14:textId="53CAA9F1" w:rsidR="0092759D" w:rsidRPr="00BE305F" w:rsidRDefault="0092759D" w:rsidP="00C067E7">
      <w:pPr>
        <w:pStyle w:val="ListParagraph"/>
        <w:numPr>
          <w:ilvl w:val="0"/>
          <w:numId w:val="49"/>
        </w:numPr>
        <w:jc w:val="both"/>
        <w:rPr>
          <w:sz w:val="22"/>
          <w:szCs w:val="22"/>
          <w:lang w:val="en-GB"/>
        </w:rPr>
      </w:pPr>
      <w:r w:rsidRPr="007A5C5F">
        <w:rPr>
          <w:sz w:val="22"/>
          <w:szCs w:val="22"/>
          <w:lang w:val="en-GB"/>
        </w:rPr>
        <w:t>EU added value</w:t>
      </w:r>
      <w:r w:rsidR="00C067E7" w:rsidRPr="007A5C5F">
        <w:rPr>
          <w:sz w:val="22"/>
          <w:szCs w:val="22"/>
          <w:lang w:val="en-GB"/>
        </w:rPr>
        <w:t>. D</w:t>
      </w:r>
      <w:r w:rsidRPr="00BE305F">
        <w:rPr>
          <w:rFonts w:eastAsia="AppleGothic"/>
          <w:b/>
          <w:bCs/>
          <w:sz w:val="22"/>
          <w:szCs w:val="22"/>
          <w:lang w:val="en-GB"/>
        </w:rPr>
        <w:t>eveloping specialized legal expertise</w:t>
      </w:r>
      <w:r w:rsidRPr="00BE305F">
        <w:rPr>
          <w:sz w:val="22"/>
          <w:szCs w:val="22"/>
          <w:lang w:val="en-GB"/>
        </w:rPr>
        <w:t xml:space="preserve">, particularly through the establishment of the </w:t>
      </w:r>
      <w:r w:rsidRPr="00BE305F">
        <w:rPr>
          <w:rFonts w:eastAsia="AppleGothic"/>
          <w:b/>
          <w:bCs/>
          <w:sz w:val="22"/>
          <w:szCs w:val="22"/>
          <w:lang w:val="en-GB"/>
        </w:rPr>
        <w:t>LLM in Environmental Law</w:t>
      </w:r>
      <w:r w:rsidRPr="00BE305F">
        <w:rPr>
          <w:sz w:val="22"/>
          <w:szCs w:val="22"/>
          <w:lang w:val="en-GB"/>
        </w:rPr>
        <w:t xml:space="preserve">. This initiative directly addresses a major gap in Sri Lanka’s legal system, ensuring that future legal professionals are equipped to handle environmental justice issues. The long-term impact of this program </w:t>
      </w:r>
      <w:r w:rsidRPr="00BE305F">
        <w:rPr>
          <w:rFonts w:eastAsia="AppleGothic"/>
          <w:b/>
          <w:bCs/>
          <w:sz w:val="22"/>
          <w:szCs w:val="22"/>
          <w:lang w:val="en-GB"/>
        </w:rPr>
        <w:t>goes beyond immediate justice sector reforms</w:t>
      </w:r>
      <w:r w:rsidRPr="00BE305F">
        <w:rPr>
          <w:sz w:val="22"/>
          <w:szCs w:val="22"/>
          <w:lang w:val="en-GB"/>
        </w:rPr>
        <w:t xml:space="preserve">, contributing to </w:t>
      </w:r>
      <w:r w:rsidRPr="00BE305F">
        <w:rPr>
          <w:rFonts w:eastAsia="AppleGothic"/>
          <w:b/>
          <w:bCs/>
          <w:sz w:val="22"/>
          <w:szCs w:val="22"/>
          <w:lang w:val="en-GB"/>
        </w:rPr>
        <w:t>broader governance and sustainable development goals</w:t>
      </w:r>
      <w:r w:rsidRPr="00BE305F">
        <w:rPr>
          <w:sz w:val="22"/>
          <w:szCs w:val="22"/>
          <w:lang w:val="en-GB"/>
        </w:rPr>
        <w:t xml:space="preserve"> (Finding 18).</w:t>
      </w:r>
    </w:p>
    <w:p w14:paraId="47D7B1F7" w14:textId="7E8DB1F8" w:rsidR="0092759D" w:rsidRPr="00BE305F" w:rsidRDefault="0092759D" w:rsidP="00C067E7">
      <w:pPr>
        <w:pStyle w:val="ListParagraph"/>
        <w:numPr>
          <w:ilvl w:val="0"/>
          <w:numId w:val="49"/>
        </w:numPr>
        <w:jc w:val="both"/>
        <w:rPr>
          <w:sz w:val="22"/>
          <w:szCs w:val="22"/>
          <w:lang w:val="en-GB"/>
        </w:rPr>
      </w:pPr>
      <w:r w:rsidRPr="00BE305F">
        <w:rPr>
          <w:sz w:val="22"/>
          <w:szCs w:val="22"/>
          <w:lang w:val="en-GB"/>
        </w:rPr>
        <w:t xml:space="preserve">However, despite these achievements, the project has </w:t>
      </w:r>
      <w:r w:rsidRPr="00BE305F">
        <w:rPr>
          <w:rFonts w:eastAsia="AppleGothic"/>
          <w:b/>
          <w:bCs/>
          <w:sz w:val="22"/>
          <w:szCs w:val="22"/>
          <w:lang w:val="en-GB"/>
        </w:rPr>
        <w:t>not fully leveraged EU best practices and institutional expertise</w:t>
      </w:r>
      <w:r w:rsidRPr="00BE305F">
        <w:rPr>
          <w:sz w:val="22"/>
          <w:szCs w:val="22"/>
          <w:lang w:val="en-GB"/>
        </w:rPr>
        <w:t xml:space="preserve">. The </w:t>
      </w:r>
      <w:r w:rsidRPr="00BE305F">
        <w:rPr>
          <w:rFonts w:eastAsia="AppleGothic"/>
          <w:b/>
          <w:bCs/>
          <w:sz w:val="22"/>
          <w:szCs w:val="22"/>
          <w:lang w:val="en-GB"/>
        </w:rPr>
        <w:t>lack of integration of proven European judicial reform tools</w:t>
      </w:r>
      <w:r w:rsidRPr="00BE305F">
        <w:rPr>
          <w:sz w:val="22"/>
          <w:szCs w:val="22"/>
          <w:lang w:val="en-GB"/>
        </w:rPr>
        <w:t xml:space="preserve">, such as </w:t>
      </w:r>
      <w:r w:rsidRPr="00BE305F">
        <w:rPr>
          <w:rFonts w:eastAsia="AppleGothic"/>
          <w:b/>
          <w:bCs/>
          <w:sz w:val="22"/>
          <w:szCs w:val="22"/>
          <w:lang w:val="en-GB"/>
        </w:rPr>
        <w:t xml:space="preserve">CEPEJ methodologies on court efficiency and </w:t>
      </w:r>
      <w:r w:rsidR="007A5C5F" w:rsidRPr="00BE305F">
        <w:rPr>
          <w:rFonts w:eastAsia="AppleGothic"/>
          <w:b/>
          <w:bCs/>
          <w:sz w:val="22"/>
          <w:szCs w:val="22"/>
          <w:lang w:val="en-GB"/>
        </w:rPr>
        <w:t>case flow</w:t>
      </w:r>
      <w:r w:rsidRPr="00BE305F">
        <w:rPr>
          <w:rFonts w:eastAsia="AppleGothic"/>
          <w:b/>
          <w:bCs/>
          <w:sz w:val="22"/>
          <w:szCs w:val="22"/>
          <w:lang w:val="en-GB"/>
        </w:rPr>
        <w:t xml:space="preserve"> management</w:t>
      </w:r>
      <w:r w:rsidRPr="00BE305F">
        <w:rPr>
          <w:sz w:val="22"/>
          <w:szCs w:val="22"/>
          <w:lang w:val="en-GB"/>
        </w:rPr>
        <w:t xml:space="preserve">, has limited the project’s ability to optimize justice sector performance. </w:t>
      </w:r>
      <w:r w:rsidR="004D14C3">
        <w:t>The CEPEJ comprises representatives from all 46 member states of the Council of Europe. Among these, 27 are also member states of the European Union.</w:t>
      </w:r>
      <w:r w:rsidR="004D14C3" w:rsidRPr="00BE305F">
        <w:rPr>
          <w:sz w:val="22"/>
          <w:szCs w:val="22"/>
          <w:lang w:val="en-GB"/>
        </w:rPr>
        <w:t xml:space="preserve"> </w:t>
      </w:r>
      <w:r w:rsidRPr="00BE305F">
        <w:rPr>
          <w:sz w:val="22"/>
          <w:szCs w:val="22"/>
          <w:lang w:val="en-GB"/>
        </w:rPr>
        <w:lastRenderedPageBreak/>
        <w:t xml:space="preserve">Additionally, </w:t>
      </w:r>
      <w:r w:rsidRPr="00BE305F">
        <w:rPr>
          <w:rFonts w:eastAsia="AppleGothic"/>
          <w:b/>
          <w:bCs/>
          <w:sz w:val="22"/>
          <w:szCs w:val="22"/>
          <w:lang w:val="en-GB"/>
        </w:rPr>
        <w:t>stronger academic partnerships with leading European institutions</w:t>
      </w:r>
      <w:r w:rsidRPr="00BE305F">
        <w:rPr>
          <w:sz w:val="22"/>
          <w:szCs w:val="22"/>
          <w:lang w:val="en-GB"/>
        </w:rPr>
        <w:t xml:space="preserve"> could have enhanced the credibility and sustainability of the </w:t>
      </w:r>
      <w:r w:rsidRPr="00BE305F">
        <w:rPr>
          <w:rFonts w:eastAsia="AppleGothic"/>
          <w:b/>
          <w:bCs/>
          <w:sz w:val="22"/>
          <w:szCs w:val="22"/>
          <w:lang w:val="en-GB"/>
        </w:rPr>
        <w:t>LLM program and other legal education initiatives</w:t>
      </w:r>
      <w:r w:rsidRPr="00BE305F">
        <w:rPr>
          <w:sz w:val="22"/>
          <w:szCs w:val="22"/>
          <w:lang w:val="en-GB"/>
        </w:rPr>
        <w:t xml:space="preserve"> (Finding 19).</w:t>
      </w:r>
    </w:p>
    <w:p w14:paraId="38D33B47" w14:textId="77777777" w:rsidR="0092759D" w:rsidRPr="00BE305F" w:rsidRDefault="0092759D" w:rsidP="00C067E7">
      <w:pPr>
        <w:pStyle w:val="ListParagraph"/>
        <w:numPr>
          <w:ilvl w:val="0"/>
          <w:numId w:val="49"/>
        </w:numPr>
        <w:jc w:val="both"/>
        <w:rPr>
          <w:sz w:val="22"/>
          <w:szCs w:val="22"/>
          <w:lang w:val="en-GB"/>
        </w:rPr>
      </w:pPr>
      <w:r w:rsidRPr="00BE305F">
        <w:rPr>
          <w:sz w:val="22"/>
          <w:szCs w:val="22"/>
          <w:lang w:val="en-GB"/>
        </w:rPr>
        <w:t xml:space="preserve">Another gap lies in the </w:t>
      </w:r>
      <w:r w:rsidRPr="00BE305F">
        <w:rPr>
          <w:rFonts w:eastAsia="AppleGothic"/>
          <w:b/>
          <w:bCs/>
          <w:sz w:val="22"/>
          <w:szCs w:val="22"/>
          <w:lang w:val="en-GB"/>
        </w:rPr>
        <w:t>partial alignment with EU Gender Action Plan III (GAP III)</w:t>
      </w:r>
      <w:r w:rsidRPr="00BE305F">
        <w:rPr>
          <w:sz w:val="22"/>
          <w:szCs w:val="22"/>
          <w:lang w:val="en-GB"/>
        </w:rPr>
        <w:t xml:space="preserve">. While the project incorporates gender-responsive interventions, </w:t>
      </w:r>
      <w:r w:rsidRPr="00BE305F">
        <w:rPr>
          <w:rFonts w:eastAsia="AppleGothic"/>
          <w:b/>
          <w:bCs/>
          <w:sz w:val="22"/>
          <w:szCs w:val="22"/>
          <w:lang w:val="en-GB"/>
        </w:rPr>
        <w:t>key indicators related to GBV case resolution, state resource allocation for gender justice, and survivor access to justice are not fully integrated into the project’s monitoring framework</w:t>
      </w:r>
      <w:r w:rsidRPr="00BE305F">
        <w:rPr>
          <w:sz w:val="22"/>
          <w:szCs w:val="22"/>
          <w:lang w:val="en-GB"/>
        </w:rPr>
        <w:t xml:space="preserve">. Strengthening these aspects would enhance </w:t>
      </w:r>
      <w:r w:rsidRPr="00BE305F">
        <w:rPr>
          <w:rFonts w:eastAsia="AppleGothic"/>
          <w:b/>
          <w:bCs/>
          <w:sz w:val="22"/>
          <w:szCs w:val="22"/>
          <w:lang w:val="en-GB"/>
        </w:rPr>
        <w:t>the EU’s visibility as a leader in gender justice reforms in Sri Lanka</w:t>
      </w:r>
      <w:r w:rsidRPr="00BE305F">
        <w:rPr>
          <w:sz w:val="22"/>
          <w:szCs w:val="22"/>
          <w:lang w:val="en-GB"/>
        </w:rPr>
        <w:t xml:space="preserve"> (Finding 19).</w:t>
      </w:r>
    </w:p>
    <w:p w14:paraId="06530121" w14:textId="17749115" w:rsidR="0092759D" w:rsidRPr="00C63A0D" w:rsidRDefault="0092759D" w:rsidP="0092759D">
      <w:pPr>
        <w:pStyle w:val="ListParagraph"/>
        <w:numPr>
          <w:ilvl w:val="0"/>
          <w:numId w:val="49"/>
        </w:numPr>
        <w:jc w:val="both"/>
        <w:rPr>
          <w:sz w:val="22"/>
          <w:szCs w:val="22"/>
        </w:rPr>
      </w:pPr>
      <w:r w:rsidRPr="00BE305F">
        <w:rPr>
          <w:rFonts w:eastAsia="AppleGothic"/>
          <w:b/>
          <w:bCs/>
          <w:sz w:val="22"/>
          <w:szCs w:val="22"/>
          <w:lang w:val="en-GB"/>
        </w:rPr>
        <w:t>EU support has been a driving force behind the most significant justice sector reforms in Sri Lanka</w:t>
      </w:r>
      <w:r w:rsidRPr="00BE305F">
        <w:rPr>
          <w:sz w:val="22"/>
          <w:szCs w:val="22"/>
          <w:lang w:val="en-GB"/>
        </w:rPr>
        <w:t xml:space="preserve">, enabling large-scale, institutional changes that </w:t>
      </w:r>
      <w:r w:rsidRPr="00BE305F">
        <w:rPr>
          <w:rFonts w:eastAsia="AppleGothic"/>
          <w:b/>
          <w:bCs/>
          <w:sz w:val="22"/>
          <w:szCs w:val="22"/>
          <w:lang w:val="en-GB"/>
        </w:rPr>
        <w:t>extend beyond immediate outputs and contribute to long-term transformation</w:t>
      </w:r>
      <w:r w:rsidRPr="00BE305F">
        <w:rPr>
          <w:sz w:val="22"/>
          <w:szCs w:val="22"/>
          <w:lang w:val="en-GB"/>
        </w:rPr>
        <w:t xml:space="preserve">. To </w:t>
      </w:r>
      <w:r w:rsidRPr="00BE305F">
        <w:rPr>
          <w:rFonts w:eastAsia="AppleGothic"/>
          <w:b/>
          <w:bCs/>
          <w:sz w:val="22"/>
          <w:szCs w:val="22"/>
          <w:lang w:val="en-GB"/>
        </w:rPr>
        <w:t>maximize its impact</w:t>
      </w:r>
      <w:r w:rsidRPr="00BE305F">
        <w:rPr>
          <w:sz w:val="22"/>
          <w:szCs w:val="22"/>
          <w:lang w:val="en-GB"/>
        </w:rPr>
        <w:t xml:space="preserve">, future initiatives should </w:t>
      </w:r>
      <w:r w:rsidRPr="00BE305F">
        <w:rPr>
          <w:rFonts w:eastAsia="AppleGothic"/>
          <w:b/>
          <w:bCs/>
          <w:sz w:val="22"/>
          <w:szCs w:val="22"/>
          <w:lang w:val="en-GB"/>
        </w:rPr>
        <w:t>prioritize the integration of EU best practices, enhance collaboration with European institutions, and ensure full alignment with EU gender and justice policy frameworks</w:t>
      </w:r>
      <w:r w:rsidRPr="00BE305F">
        <w:rPr>
          <w:sz w:val="22"/>
          <w:szCs w:val="22"/>
          <w:lang w:val="en-GB"/>
        </w:rPr>
        <w:t>.</w:t>
      </w:r>
      <w:r w:rsidR="00393438">
        <w:rPr>
          <w:sz w:val="22"/>
          <w:szCs w:val="22"/>
          <w:lang w:val="en-GB"/>
        </w:rPr>
        <w:t xml:space="preserve"> </w:t>
      </w:r>
      <w:r w:rsidR="00393438" w:rsidRPr="00393438">
        <w:rPr>
          <w:sz w:val="22"/>
          <w:szCs w:val="22"/>
        </w:rPr>
        <w:t xml:space="preserve">Leveraging </w:t>
      </w:r>
      <w:r w:rsidR="00393438" w:rsidRPr="00393438">
        <w:rPr>
          <w:b/>
          <w:bCs/>
          <w:sz w:val="22"/>
          <w:szCs w:val="22"/>
        </w:rPr>
        <w:t>EU-added value</w:t>
      </w:r>
      <w:r w:rsidR="00393438" w:rsidRPr="00393438">
        <w:rPr>
          <w:sz w:val="22"/>
          <w:szCs w:val="22"/>
        </w:rPr>
        <w:t xml:space="preserve"> in Sri Lanka’s child protection system would mean adopting proven, internationally recognized EU best practices</w:t>
      </w:r>
      <w:r w:rsidR="00393438">
        <w:rPr>
          <w:sz w:val="22"/>
          <w:szCs w:val="22"/>
        </w:rPr>
        <w:t xml:space="preserve"> that</w:t>
      </w:r>
      <w:r w:rsidR="00393438" w:rsidRPr="00393438">
        <w:rPr>
          <w:sz w:val="22"/>
          <w:szCs w:val="22"/>
        </w:rPr>
        <w:t xml:space="preserve"> received recognition from the </w:t>
      </w:r>
      <w:r w:rsidR="00393438" w:rsidRPr="00393438">
        <w:rPr>
          <w:b/>
          <w:bCs/>
          <w:sz w:val="22"/>
          <w:szCs w:val="22"/>
        </w:rPr>
        <w:t>International Society for the Prevention of Child Abuse and Neglect (IPSCAN)</w:t>
      </w:r>
      <w:r w:rsidR="00393438" w:rsidRPr="00393438">
        <w:rPr>
          <w:sz w:val="22"/>
          <w:szCs w:val="22"/>
        </w:rPr>
        <w:t xml:space="preserve">, as well as support from the </w:t>
      </w:r>
      <w:r w:rsidR="00393438" w:rsidRPr="00393438">
        <w:rPr>
          <w:b/>
          <w:bCs/>
          <w:sz w:val="22"/>
          <w:szCs w:val="22"/>
        </w:rPr>
        <w:t>UN Special Representative on Violence Against Children</w:t>
      </w:r>
      <w:r w:rsidR="00393438">
        <w:rPr>
          <w:b/>
          <w:bCs/>
          <w:sz w:val="22"/>
          <w:szCs w:val="22"/>
        </w:rPr>
        <w:t xml:space="preserve"> (</w:t>
      </w:r>
      <w:r w:rsidR="00393438" w:rsidRPr="00393438">
        <w:rPr>
          <w:b/>
          <w:bCs/>
          <w:sz w:val="22"/>
          <w:szCs w:val="22"/>
        </w:rPr>
        <w:t>Barnahus model</w:t>
      </w:r>
      <w:r w:rsidR="00393438">
        <w:rPr>
          <w:sz w:val="22"/>
          <w:szCs w:val="22"/>
        </w:rPr>
        <w:t xml:space="preserve"> </w:t>
      </w:r>
      <w:r w:rsidR="00393438" w:rsidRPr="00393438">
        <w:rPr>
          <w:sz w:val="22"/>
          <w:szCs w:val="22"/>
        </w:rPr>
        <w:t>a</w:t>
      </w:r>
      <w:r w:rsidR="00393438">
        <w:rPr>
          <w:sz w:val="22"/>
          <w:szCs w:val="22"/>
        </w:rPr>
        <w:t>s</w:t>
      </w:r>
      <w:r w:rsidR="00393438" w:rsidRPr="00393438">
        <w:rPr>
          <w:sz w:val="22"/>
          <w:szCs w:val="22"/>
        </w:rPr>
        <w:t xml:space="preserve"> multidisciplinary, child-friendly response to child victims and witnesses of violence)</w:t>
      </w:r>
      <w:r w:rsidR="00393438">
        <w:rPr>
          <w:rStyle w:val="FootnoteReference"/>
          <w:sz w:val="22"/>
          <w:szCs w:val="22"/>
        </w:rPr>
        <w:footnoteReference w:id="88"/>
      </w:r>
      <w:r w:rsidR="00393438" w:rsidRPr="00393438">
        <w:rPr>
          <w:sz w:val="22"/>
          <w:szCs w:val="22"/>
        </w:rPr>
        <w:t xml:space="preserve">. </w:t>
      </w:r>
    </w:p>
    <w:p w14:paraId="266045A7" w14:textId="7CD606D3" w:rsidR="0092759D" w:rsidRPr="007A5C5F" w:rsidRDefault="0056164E" w:rsidP="00C067E7">
      <w:pPr>
        <w:pStyle w:val="ListParagraph"/>
        <w:numPr>
          <w:ilvl w:val="0"/>
          <w:numId w:val="49"/>
        </w:numPr>
        <w:jc w:val="both"/>
        <w:rPr>
          <w:sz w:val="22"/>
          <w:szCs w:val="22"/>
          <w:lang w:val="en-GB"/>
        </w:rPr>
      </w:pPr>
      <w:r w:rsidRPr="007A5C5F">
        <w:rPr>
          <w:b/>
          <w:bCs/>
          <w:sz w:val="22"/>
          <w:szCs w:val="22"/>
          <w:lang w:val="en-GB"/>
        </w:rPr>
        <w:t>Result Framework.</w:t>
      </w:r>
      <w:r w:rsidRPr="007A5C5F">
        <w:rPr>
          <w:sz w:val="22"/>
          <w:szCs w:val="22"/>
          <w:lang w:val="en-GB"/>
        </w:rPr>
        <w:t xml:space="preserve"> While the JURE Results Framework provides a solid foundation for tracking progress, there are areas that could be further refined to enhance its effectiveness in measuring real change. Clarifying assumptions, strengthening</w:t>
      </w:r>
      <w:r w:rsidR="003D17FD">
        <w:rPr>
          <w:sz w:val="22"/>
          <w:szCs w:val="22"/>
          <w:lang w:val="en-GB"/>
        </w:rPr>
        <w:t xml:space="preserve"> and calibrating the</w:t>
      </w:r>
      <w:r w:rsidRPr="007A5C5F">
        <w:rPr>
          <w:sz w:val="22"/>
          <w:szCs w:val="22"/>
          <w:lang w:val="en-GB"/>
        </w:rPr>
        <w:t xml:space="preserve"> indicators, ensuring comprehensive baseline data, and refining target setting would help improve the framework’s robustness</w:t>
      </w:r>
      <w:r w:rsidR="003D17FD">
        <w:rPr>
          <w:sz w:val="22"/>
          <w:szCs w:val="22"/>
          <w:lang w:val="en-GB"/>
        </w:rPr>
        <w:t xml:space="preserve">. </w:t>
      </w:r>
      <w:r w:rsidR="003D17FD" w:rsidRPr="003D17FD">
        <w:rPr>
          <w:sz w:val="22"/>
          <w:szCs w:val="22"/>
        </w:rPr>
        <w:t xml:space="preserve">Utilizing the </w:t>
      </w:r>
      <w:r w:rsidR="003D17FD" w:rsidRPr="003D17FD">
        <w:rPr>
          <w:b/>
          <w:bCs/>
          <w:sz w:val="22"/>
          <w:szCs w:val="22"/>
        </w:rPr>
        <w:t>Logframe</w:t>
      </w:r>
      <w:r w:rsidR="003D17FD" w:rsidRPr="003D17FD">
        <w:rPr>
          <w:sz w:val="22"/>
          <w:szCs w:val="22"/>
        </w:rPr>
        <w:t xml:space="preserve"> as a project monitoring tool is crucial for ensuring systematic tracking of progress. Moreover, advancing reporting beyond activity-based updates to focus on measurable progress toward impact will enhance accountability, facilitate informed decision-making, and strengthen the project’s overall </w:t>
      </w:r>
      <w:r w:rsidR="00DE11D6" w:rsidRPr="003D17FD">
        <w:rPr>
          <w:sz w:val="22"/>
          <w:szCs w:val="22"/>
        </w:rPr>
        <w:t>effectiveness.</w:t>
      </w:r>
      <w:r w:rsidR="00DE11D6" w:rsidRPr="007A5C5F">
        <w:rPr>
          <w:sz w:val="22"/>
          <w:szCs w:val="22"/>
          <w:lang w:val="en-GB"/>
        </w:rPr>
        <w:t xml:space="preserve"> Addressing</w:t>
      </w:r>
      <w:r w:rsidRPr="007A5C5F">
        <w:rPr>
          <w:sz w:val="22"/>
          <w:szCs w:val="22"/>
          <w:lang w:val="en-GB"/>
        </w:rPr>
        <w:t xml:space="preserve"> these aspects through clearer logic, more precise indicators, better data disaggregation, and enhanced monitoring mechanisms will further support evidence-based decision-making and the overall success of the evaluation.</w:t>
      </w:r>
    </w:p>
    <w:p w14:paraId="1CF7BD85" w14:textId="77777777" w:rsidR="00275378" w:rsidRPr="007A5C5F" w:rsidRDefault="00275378" w:rsidP="003724A8">
      <w:pPr>
        <w:rPr>
          <w:lang w:val="en-GB"/>
        </w:rPr>
      </w:pPr>
    </w:p>
    <w:p w14:paraId="333C0A49" w14:textId="7E470DAC" w:rsidR="00356A58" w:rsidRPr="007A5C5F" w:rsidRDefault="00F82264" w:rsidP="003724A8">
      <w:pPr>
        <w:rPr>
          <w:lang w:val="en-GB"/>
        </w:rPr>
      </w:pPr>
      <w:r w:rsidRPr="007A5C5F">
        <w:rPr>
          <w:lang w:val="en-GB"/>
        </w:rPr>
        <w:t>.</w:t>
      </w:r>
    </w:p>
    <w:p w14:paraId="3E75182A" w14:textId="1209A602" w:rsidR="003724A8" w:rsidRPr="007A5C5F" w:rsidRDefault="003724A8" w:rsidP="00C900FD">
      <w:pPr>
        <w:pStyle w:val="Heading1"/>
        <w:jc w:val="center"/>
        <w:rPr>
          <w:rFonts w:ascii="Times New Roman" w:hAnsi="Times New Roman" w:cs="Times New Roman"/>
          <w:lang w:val="en-GB"/>
        </w:rPr>
      </w:pPr>
      <w:bookmarkStart w:id="29" w:name="_Toc188348268"/>
      <w:r w:rsidRPr="007A5C5F">
        <w:rPr>
          <w:rFonts w:ascii="Times New Roman" w:hAnsi="Times New Roman" w:cs="Times New Roman"/>
          <w:lang w:val="en-GB"/>
        </w:rPr>
        <w:lastRenderedPageBreak/>
        <w:t>IV. RECOMMENDATIONS</w:t>
      </w:r>
      <w:bookmarkEnd w:id="29"/>
    </w:p>
    <w:p w14:paraId="53DD01A8" w14:textId="75863500" w:rsidR="003D17FD" w:rsidRPr="003D17FD" w:rsidRDefault="003D17FD" w:rsidP="003D17FD">
      <w:pPr>
        <w:jc w:val="both"/>
        <w:rPr>
          <w:sz w:val="22"/>
          <w:szCs w:val="22"/>
          <w:lang w:val="en-GB"/>
        </w:rPr>
      </w:pPr>
      <w:r w:rsidRPr="003D17FD">
        <w:rPr>
          <w:sz w:val="22"/>
          <w:szCs w:val="22"/>
          <w:lang w:val="en-GB"/>
        </w:rPr>
        <w:t xml:space="preserve">The evaluation resulted in nine key recommendations aimed at strengthening the effectiveness, sustainability, and impact of the JURE programme. These recommendations address critical areas such as enhancing inter-agency coordination, improving the capacity of government institutions, ensuring sustainable funding, refining the targeting of vulnerable groups, reinforcing monitoring and evaluation mechanisms, and proactively addressing systemic </w:t>
      </w:r>
      <w:r w:rsidR="00EC57B7" w:rsidRPr="003D17FD">
        <w:rPr>
          <w:sz w:val="22"/>
          <w:szCs w:val="22"/>
          <w:lang w:val="en-GB"/>
        </w:rPr>
        <w:t>challenges. Importantly</w:t>
      </w:r>
      <w:r w:rsidRPr="003D17FD">
        <w:rPr>
          <w:sz w:val="22"/>
          <w:szCs w:val="22"/>
          <w:lang w:val="en-GB"/>
        </w:rPr>
        <w:t>, the recommendations also incorporate the insights and suggestions provided by national stakeholders and beneficiaries, ensuring that the proposed measures reflect the needs and priorities of those directly engaged in and affected by the programme. By integrating these perspectives, the evaluation provides a comprehensive roadmap for improving justice sector reforms and ensuring that the programme remains responsive, inclusive, and sustainable.</w:t>
      </w:r>
    </w:p>
    <w:p w14:paraId="4AB7A5C2" w14:textId="32734C55" w:rsidR="0056164E" w:rsidRPr="007A5C5F" w:rsidRDefault="003724A8" w:rsidP="00D24919">
      <w:pPr>
        <w:pStyle w:val="Heading3"/>
        <w:jc w:val="center"/>
        <w:rPr>
          <w:rFonts w:ascii="Times New Roman" w:hAnsi="Times New Roman" w:cs="Times New Roman"/>
          <w:lang w:val="en-GB"/>
        </w:rPr>
      </w:pPr>
      <w:r w:rsidRPr="007A5C5F">
        <w:rPr>
          <w:rFonts w:ascii="Times New Roman" w:hAnsi="Times New Roman" w:cs="Times New Roman"/>
          <w:lang w:val="en-GB"/>
        </w:rPr>
        <w:t xml:space="preserve">RECOMMENDATION 1 – </w:t>
      </w:r>
      <w:r w:rsidR="007A5C5F" w:rsidRPr="007A5C5F">
        <w:rPr>
          <w:rFonts w:ascii="Times New Roman" w:hAnsi="Times New Roman" w:cs="Times New Roman"/>
          <w:lang w:val="en-GB"/>
        </w:rPr>
        <w:t>RELEVANCE:</w:t>
      </w:r>
      <w:r w:rsidR="00611FC4" w:rsidRPr="007A5C5F">
        <w:rPr>
          <w:rFonts w:ascii="Times New Roman" w:hAnsi="Times New Roman" w:cs="Times New Roman"/>
          <w:lang w:val="en-GB"/>
        </w:rPr>
        <w:t xml:space="preserve"> </w:t>
      </w:r>
      <w:r w:rsidR="0056164E" w:rsidRPr="0056164E">
        <w:rPr>
          <w:rFonts w:ascii="Times New Roman" w:hAnsi="Times New Roman" w:cs="Times New Roman"/>
          <w:lang w:val="en-GB"/>
        </w:rPr>
        <w:t>Strengthen the Results Framework</w:t>
      </w:r>
      <w:r w:rsidR="00C067E7" w:rsidRPr="007A5C5F">
        <w:rPr>
          <w:rFonts w:ascii="Times New Roman" w:hAnsi="Times New Roman" w:cs="Times New Roman"/>
          <w:lang w:val="en-GB"/>
        </w:rPr>
        <w:t xml:space="preserve"> (Finding </w:t>
      </w:r>
      <w:r w:rsidR="00CA331C">
        <w:rPr>
          <w:rFonts w:ascii="Times New Roman" w:hAnsi="Times New Roman" w:cs="Times New Roman"/>
          <w:lang w:val="en-GB"/>
        </w:rPr>
        <w:t>8</w:t>
      </w:r>
      <w:r w:rsidR="00C067E7" w:rsidRPr="007A5C5F">
        <w:rPr>
          <w:rFonts w:ascii="Times New Roman" w:hAnsi="Times New Roman" w:cs="Times New Roman"/>
          <w:lang w:val="en-GB"/>
        </w:rPr>
        <w:t xml:space="preserve">, </w:t>
      </w:r>
      <w:r w:rsidR="00CA331C">
        <w:rPr>
          <w:rFonts w:ascii="Times New Roman" w:hAnsi="Times New Roman" w:cs="Times New Roman"/>
          <w:lang w:val="en-GB"/>
        </w:rPr>
        <w:t>13</w:t>
      </w:r>
      <w:r w:rsidR="00C067E7" w:rsidRPr="007A5C5F">
        <w:rPr>
          <w:rFonts w:ascii="Times New Roman" w:hAnsi="Times New Roman" w:cs="Times New Roman"/>
          <w:lang w:val="en-GB"/>
        </w:rPr>
        <w:t>)</w:t>
      </w:r>
    </w:p>
    <w:p w14:paraId="57530A61" w14:textId="2939B63E" w:rsidR="00325CFF" w:rsidRPr="006D3B28" w:rsidRDefault="00325CFF" w:rsidP="00C900FD">
      <w:pPr>
        <w:rPr>
          <w:sz w:val="22"/>
          <w:szCs w:val="22"/>
          <w:lang w:val="en-GB"/>
        </w:rPr>
      </w:pPr>
      <w:r w:rsidRPr="006D3B28">
        <w:rPr>
          <w:i/>
          <w:iCs/>
          <w:sz w:val="22"/>
          <w:szCs w:val="22"/>
          <w:lang w:val="en-GB"/>
        </w:rPr>
        <w:t>Responsible Entity: JURE Project Implementing Team</w:t>
      </w:r>
      <w:r w:rsidRPr="006D3B28">
        <w:rPr>
          <w:sz w:val="22"/>
          <w:szCs w:val="22"/>
          <w:lang w:val="en-GB"/>
        </w:rPr>
        <w:br/>
      </w:r>
      <w:r w:rsidRPr="006D3B28">
        <w:rPr>
          <w:i/>
          <w:iCs/>
          <w:sz w:val="22"/>
          <w:szCs w:val="22"/>
          <w:lang w:val="en-GB"/>
        </w:rPr>
        <w:t>Priority Level: High</w:t>
      </w:r>
      <w:r w:rsidRPr="006D3B28">
        <w:rPr>
          <w:sz w:val="22"/>
          <w:szCs w:val="22"/>
          <w:lang w:val="en-GB"/>
        </w:rPr>
        <w:br/>
      </w:r>
      <w:r w:rsidRPr="006D3B28">
        <w:rPr>
          <w:i/>
          <w:iCs/>
          <w:sz w:val="22"/>
          <w:szCs w:val="22"/>
          <w:lang w:val="en-GB"/>
        </w:rPr>
        <w:t>Timeframe: Immediate to Mid-term</w:t>
      </w:r>
    </w:p>
    <w:p w14:paraId="02128F65" w14:textId="77777777" w:rsidR="00325CFF" w:rsidRPr="0056164E" w:rsidRDefault="00325CFF" w:rsidP="00597CD7">
      <w:pPr>
        <w:jc w:val="both"/>
        <w:rPr>
          <w:lang w:val="en-GB"/>
        </w:rPr>
      </w:pPr>
    </w:p>
    <w:p w14:paraId="025EF24D" w14:textId="77777777" w:rsidR="0056164E" w:rsidRPr="0056164E" w:rsidRDefault="0056164E" w:rsidP="00597CD7">
      <w:pPr>
        <w:numPr>
          <w:ilvl w:val="0"/>
          <w:numId w:val="205"/>
        </w:numPr>
        <w:tabs>
          <w:tab w:val="num" w:pos="720"/>
        </w:tabs>
        <w:jc w:val="both"/>
        <w:rPr>
          <w:sz w:val="22"/>
          <w:szCs w:val="22"/>
          <w:lang w:val="en-GB"/>
        </w:rPr>
      </w:pPr>
      <w:r w:rsidRPr="0056164E">
        <w:rPr>
          <w:b/>
          <w:bCs/>
          <w:sz w:val="22"/>
          <w:szCs w:val="22"/>
          <w:lang w:val="en-GB"/>
        </w:rPr>
        <w:t>Improve logical alignment and change language</w:t>
      </w:r>
      <w:r w:rsidRPr="0056164E">
        <w:rPr>
          <w:sz w:val="22"/>
          <w:szCs w:val="22"/>
          <w:lang w:val="en-GB"/>
        </w:rPr>
        <w:t>:</w:t>
      </w:r>
    </w:p>
    <w:p w14:paraId="0F8219E4" w14:textId="77777777" w:rsidR="0056164E" w:rsidRPr="0056164E" w:rsidRDefault="0056164E" w:rsidP="00597CD7">
      <w:pPr>
        <w:numPr>
          <w:ilvl w:val="1"/>
          <w:numId w:val="205"/>
        </w:numPr>
        <w:tabs>
          <w:tab w:val="num" w:pos="1440"/>
        </w:tabs>
        <w:jc w:val="both"/>
        <w:rPr>
          <w:sz w:val="22"/>
          <w:szCs w:val="22"/>
          <w:lang w:val="en-GB"/>
        </w:rPr>
      </w:pPr>
      <w:r w:rsidRPr="0056164E">
        <w:rPr>
          <w:sz w:val="22"/>
          <w:szCs w:val="22"/>
          <w:lang w:val="en-GB"/>
        </w:rPr>
        <w:t xml:space="preserve">Revise </w:t>
      </w:r>
      <w:r w:rsidRPr="0056164E">
        <w:rPr>
          <w:b/>
          <w:bCs/>
          <w:sz w:val="22"/>
          <w:szCs w:val="22"/>
          <w:lang w:val="en-GB"/>
        </w:rPr>
        <w:t>outcome and output statements</w:t>
      </w:r>
      <w:r w:rsidRPr="0056164E">
        <w:rPr>
          <w:sz w:val="22"/>
          <w:szCs w:val="22"/>
          <w:lang w:val="en-GB"/>
        </w:rPr>
        <w:t xml:space="preserve"> to explicitly describe </w:t>
      </w:r>
      <w:r w:rsidRPr="0056164E">
        <w:rPr>
          <w:b/>
          <w:bCs/>
          <w:sz w:val="22"/>
          <w:szCs w:val="22"/>
          <w:lang w:val="en-GB"/>
        </w:rPr>
        <w:t>the transformation expected</w:t>
      </w:r>
      <w:r w:rsidRPr="0056164E">
        <w:rPr>
          <w:sz w:val="22"/>
          <w:szCs w:val="22"/>
          <w:lang w:val="en-GB"/>
        </w:rPr>
        <w:t xml:space="preserve"> (e.g., "Enhanced capacity of legal aid providers to deliver timely justice" instead of "Number of legal aid providers trained").</w:t>
      </w:r>
    </w:p>
    <w:p w14:paraId="0D27EFDD" w14:textId="2ED3624B" w:rsidR="0056164E" w:rsidRPr="0056164E" w:rsidRDefault="00AB6FD5" w:rsidP="00597CD7">
      <w:pPr>
        <w:numPr>
          <w:ilvl w:val="1"/>
          <w:numId w:val="205"/>
        </w:numPr>
        <w:tabs>
          <w:tab w:val="num" w:pos="1440"/>
        </w:tabs>
        <w:jc w:val="both"/>
        <w:rPr>
          <w:sz w:val="22"/>
          <w:szCs w:val="22"/>
          <w:lang w:val="en-GB"/>
        </w:rPr>
      </w:pPr>
      <w:r w:rsidRPr="007A5C5F">
        <w:rPr>
          <w:sz w:val="22"/>
          <w:szCs w:val="22"/>
          <w:lang w:val="en-GB"/>
        </w:rPr>
        <w:t>Exclude irrelevant indicators and e</w:t>
      </w:r>
      <w:r w:rsidR="0056164E" w:rsidRPr="0056164E">
        <w:rPr>
          <w:sz w:val="22"/>
          <w:szCs w:val="22"/>
          <w:lang w:val="en-GB"/>
        </w:rPr>
        <w:t xml:space="preserve">nsure that </w:t>
      </w:r>
      <w:r w:rsidR="0056164E" w:rsidRPr="0056164E">
        <w:rPr>
          <w:b/>
          <w:bCs/>
          <w:sz w:val="22"/>
          <w:szCs w:val="22"/>
          <w:lang w:val="en-GB"/>
        </w:rPr>
        <w:t>outputs clearly lead to the stated outcomes</w:t>
      </w:r>
      <w:r w:rsidR="0056164E" w:rsidRPr="0056164E">
        <w:rPr>
          <w:sz w:val="22"/>
          <w:szCs w:val="22"/>
          <w:lang w:val="en-GB"/>
        </w:rPr>
        <w:t xml:space="preserve"> and include </w:t>
      </w:r>
      <w:r w:rsidR="0056164E" w:rsidRPr="0056164E">
        <w:rPr>
          <w:b/>
          <w:bCs/>
          <w:sz w:val="22"/>
          <w:szCs w:val="22"/>
          <w:lang w:val="en-GB"/>
        </w:rPr>
        <w:t>intermediate change steps</w:t>
      </w:r>
      <w:r w:rsidR="0056164E" w:rsidRPr="0056164E">
        <w:rPr>
          <w:sz w:val="22"/>
          <w:szCs w:val="22"/>
          <w:lang w:val="en-GB"/>
        </w:rPr>
        <w:t>.</w:t>
      </w:r>
    </w:p>
    <w:p w14:paraId="5029A5F6" w14:textId="77777777" w:rsidR="0056164E" w:rsidRPr="0056164E" w:rsidRDefault="0056164E" w:rsidP="00597CD7">
      <w:pPr>
        <w:numPr>
          <w:ilvl w:val="0"/>
          <w:numId w:val="205"/>
        </w:numPr>
        <w:tabs>
          <w:tab w:val="num" w:pos="720"/>
        </w:tabs>
        <w:jc w:val="both"/>
        <w:rPr>
          <w:sz w:val="22"/>
          <w:szCs w:val="22"/>
          <w:lang w:val="en-GB"/>
        </w:rPr>
      </w:pPr>
      <w:r w:rsidRPr="0056164E">
        <w:rPr>
          <w:b/>
          <w:bCs/>
          <w:sz w:val="22"/>
          <w:szCs w:val="22"/>
          <w:lang w:val="en-GB"/>
        </w:rPr>
        <w:t>Enhance the indicator framework</w:t>
      </w:r>
      <w:r w:rsidRPr="0056164E">
        <w:rPr>
          <w:sz w:val="22"/>
          <w:szCs w:val="22"/>
          <w:lang w:val="en-GB"/>
        </w:rPr>
        <w:t>:</w:t>
      </w:r>
    </w:p>
    <w:p w14:paraId="68D09C71" w14:textId="107B6397" w:rsidR="0056164E" w:rsidRPr="0056164E" w:rsidRDefault="0056164E" w:rsidP="00597CD7">
      <w:pPr>
        <w:numPr>
          <w:ilvl w:val="1"/>
          <w:numId w:val="205"/>
        </w:numPr>
        <w:tabs>
          <w:tab w:val="num" w:pos="1440"/>
        </w:tabs>
        <w:jc w:val="both"/>
        <w:rPr>
          <w:sz w:val="22"/>
          <w:szCs w:val="22"/>
          <w:lang w:val="en-GB"/>
        </w:rPr>
      </w:pPr>
      <w:r w:rsidRPr="0056164E">
        <w:rPr>
          <w:sz w:val="22"/>
          <w:szCs w:val="22"/>
          <w:lang w:val="en-GB"/>
        </w:rPr>
        <w:t xml:space="preserve">Add </w:t>
      </w:r>
      <w:r w:rsidRPr="0056164E">
        <w:rPr>
          <w:b/>
          <w:bCs/>
          <w:sz w:val="22"/>
          <w:szCs w:val="22"/>
          <w:lang w:val="en-GB"/>
        </w:rPr>
        <w:t>qualitative indicators</w:t>
      </w:r>
      <w:r w:rsidRPr="0056164E">
        <w:rPr>
          <w:sz w:val="22"/>
          <w:szCs w:val="22"/>
          <w:lang w:val="en-GB"/>
        </w:rPr>
        <w:t xml:space="preserve"> (e.g., beneficiary satisfaction surveys, </w:t>
      </w:r>
      <w:r w:rsidR="00597CD7">
        <w:rPr>
          <w:sz w:val="22"/>
          <w:szCs w:val="22"/>
          <w:lang w:val="en-GB"/>
        </w:rPr>
        <w:t xml:space="preserve">and </w:t>
      </w:r>
      <w:r w:rsidRPr="0056164E">
        <w:rPr>
          <w:sz w:val="22"/>
          <w:szCs w:val="22"/>
          <w:lang w:val="en-GB"/>
        </w:rPr>
        <w:t>institutional compliance assessments) alongside quantitative ones.</w:t>
      </w:r>
    </w:p>
    <w:p w14:paraId="260E7F3B" w14:textId="77777777" w:rsidR="0056164E" w:rsidRPr="0056164E" w:rsidRDefault="0056164E" w:rsidP="00597CD7">
      <w:pPr>
        <w:numPr>
          <w:ilvl w:val="1"/>
          <w:numId w:val="205"/>
        </w:numPr>
        <w:tabs>
          <w:tab w:val="num" w:pos="1440"/>
        </w:tabs>
        <w:jc w:val="both"/>
        <w:rPr>
          <w:sz w:val="22"/>
          <w:szCs w:val="22"/>
          <w:lang w:val="en-GB"/>
        </w:rPr>
      </w:pPr>
      <w:r w:rsidRPr="0056164E">
        <w:rPr>
          <w:sz w:val="22"/>
          <w:szCs w:val="22"/>
          <w:lang w:val="en-GB"/>
        </w:rPr>
        <w:t xml:space="preserve">Define </w:t>
      </w:r>
      <w:r w:rsidRPr="0056164E">
        <w:rPr>
          <w:b/>
          <w:bCs/>
          <w:sz w:val="22"/>
          <w:szCs w:val="22"/>
          <w:lang w:val="en-GB"/>
        </w:rPr>
        <w:t>baseline values</w:t>
      </w:r>
      <w:r w:rsidRPr="0056164E">
        <w:rPr>
          <w:sz w:val="22"/>
          <w:szCs w:val="22"/>
          <w:lang w:val="en-GB"/>
        </w:rPr>
        <w:t xml:space="preserve"> for all key indicators where they are currently missing.</w:t>
      </w:r>
    </w:p>
    <w:p w14:paraId="671CBD32" w14:textId="66F6056F" w:rsidR="00AB6FD5" w:rsidRPr="007A5C5F" w:rsidRDefault="0056164E" w:rsidP="00597CD7">
      <w:pPr>
        <w:numPr>
          <w:ilvl w:val="1"/>
          <w:numId w:val="205"/>
        </w:numPr>
        <w:tabs>
          <w:tab w:val="num" w:pos="1440"/>
        </w:tabs>
        <w:jc w:val="both"/>
        <w:rPr>
          <w:sz w:val="22"/>
          <w:szCs w:val="22"/>
          <w:lang w:val="en-GB"/>
        </w:rPr>
      </w:pPr>
      <w:r w:rsidRPr="0056164E">
        <w:rPr>
          <w:sz w:val="22"/>
          <w:szCs w:val="22"/>
          <w:lang w:val="en-GB"/>
        </w:rPr>
        <w:t xml:space="preserve">Ensure all indicators have </w:t>
      </w:r>
      <w:r w:rsidRPr="0056164E">
        <w:rPr>
          <w:b/>
          <w:bCs/>
          <w:sz w:val="22"/>
          <w:szCs w:val="22"/>
          <w:lang w:val="en-GB"/>
        </w:rPr>
        <w:t>clear means of verification</w:t>
      </w:r>
      <w:r w:rsidRPr="0056164E">
        <w:rPr>
          <w:sz w:val="22"/>
          <w:szCs w:val="22"/>
          <w:lang w:val="en-GB"/>
        </w:rPr>
        <w:t xml:space="preserve"> beyond government reports, incorporating independent monitoring.</w:t>
      </w:r>
    </w:p>
    <w:p w14:paraId="54932438" w14:textId="1C0865EC" w:rsidR="00AB6FD5" w:rsidRPr="007A5C5F" w:rsidRDefault="007A5C5F" w:rsidP="00597CD7">
      <w:pPr>
        <w:numPr>
          <w:ilvl w:val="0"/>
          <w:numId w:val="205"/>
        </w:numPr>
        <w:tabs>
          <w:tab w:val="num" w:pos="720"/>
        </w:tabs>
        <w:jc w:val="both"/>
        <w:rPr>
          <w:b/>
          <w:bCs/>
          <w:sz w:val="22"/>
          <w:szCs w:val="22"/>
          <w:lang w:val="en-GB"/>
        </w:rPr>
      </w:pPr>
      <w:r w:rsidRPr="007A5C5F">
        <w:rPr>
          <w:b/>
          <w:bCs/>
          <w:sz w:val="22"/>
          <w:szCs w:val="22"/>
          <w:lang w:val="en-GB"/>
        </w:rPr>
        <w:t>Consider</w:t>
      </w:r>
      <w:r w:rsidR="00AB6FD5" w:rsidRPr="007A5C5F">
        <w:rPr>
          <w:b/>
          <w:bCs/>
          <w:sz w:val="22"/>
          <w:szCs w:val="22"/>
          <w:lang w:val="en-GB"/>
        </w:rPr>
        <w:t xml:space="preserve"> building the capacity of national partners to measure these </w:t>
      </w:r>
      <w:r w:rsidR="00597CD7">
        <w:rPr>
          <w:b/>
          <w:bCs/>
          <w:sz w:val="22"/>
          <w:szCs w:val="22"/>
          <w:lang w:val="en-GB"/>
        </w:rPr>
        <w:t>impact-level</w:t>
      </w:r>
      <w:r w:rsidR="00AB6FD5" w:rsidRPr="007A5C5F">
        <w:rPr>
          <w:b/>
          <w:bCs/>
          <w:sz w:val="22"/>
          <w:szCs w:val="22"/>
          <w:lang w:val="en-GB"/>
        </w:rPr>
        <w:t xml:space="preserve"> </w:t>
      </w:r>
      <w:r w:rsidRPr="007A5C5F">
        <w:rPr>
          <w:b/>
          <w:bCs/>
          <w:sz w:val="22"/>
          <w:szCs w:val="22"/>
          <w:lang w:val="en-GB"/>
        </w:rPr>
        <w:t>results:</w:t>
      </w:r>
    </w:p>
    <w:p w14:paraId="2BE15841" w14:textId="77777777" w:rsidR="00AB6FD5" w:rsidRPr="00E84524" w:rsidRDefault="00AB6FD5" w:rsidP="00597CD7">
      <w:pPr>
        <w:numPr>
          <w:ilvl w:val="0"/>
          <w:numId w:val="224"/>
        </w:numPr>
        <w:jc w:val="both"/>
        <w:rPr>
          <w:sz w:val="22"/>
          <w:szCs w:val="22"/>
          <w:lang w:val="en-GB"/>
        </w:rPr>
      </w:pPr>
      <w:r w:rsidRPr="00E84524">
        <w:rPr>
          <w:rFonts w:eastAsiaTheme="minorEastAsia"/>
          <w:b/>
          <w:bCs/>
          <w:sz w:val="22"/>
          <w:szCs w:val="22"/>
          <w:lang w:val="en-GB"/>
        </w:rPr>
        <w:t>Increased Age Limit for Imprisonment:</w:t>
      </w:r>
    </w:p>
    <w:p w14:paraId="7F037C44" w14:textId="77777777" w:rsidR="00840F13" w:rsidRPr="00E84524" w:rsidRDefault="00000000" w:rsidP="00597CD7">
      <w:pPr>
        <w:numPr>
          <w:ilvl w:val="0"/>
          <w:numId w:val="230"/>
        </w:numPr>
        <w:jc w:val="both"/>
        <w:rPr>
          <w:sz w:val="22"/>
          <w:szCs w:val="22"/>
          <w:lang w:val="en-GB"/>
        </w:rPr>
      </w:pPr>
      <w:r w:rsidRPr="00E84524">
        <w:rPr>
          <w:rFonts w:eastAsiaTheme="minorEastAsia"/>
          <w:sz w:val="22"/>
          <w:szCs w:val="22"/>
          <w:lang w:val="en-GB"/>
        </w:rPr>
        <w:t>Number and percentage of children aged 16-17 diverted from detention facilities.</w:t>
      </w:r>
    </w:p>
    <w:p w14:paraId="43C347EC" w14:textId="77777777" w:rsidR="00840F13" w:rsidRPr="00E84524" w:rsidRDefault="00000000" w:rsidP="00597CD7">
      <w:pPr>
        <w:numPr>
          <w:ilvl w:val="0"/>
          <w:numId w:val="230"/>
        </w:numPr>
        <w:jc w:val="both"/>
        <w:rPr>
          <w:sz w:val="22"/>
          <w:szCs w:val="22"/>
          <w:lang w:val="en-GB"/>
        </w:rPr>
      </w:pPr>
      <w:r w:rsidRPr="00E84524">
        <w:rPr>
          <w:rFonts w:eastAsiaTheme="minorEastAsia"/>
          <w:sz w:val="22"/>
          <w:szCs w:val="22"/>
          <w:lang w:val="en-GB"/>
        </w:rPr>
        <w:t>Legislative or policy changes implemented to enforce the new age limit.</w:t>
      </w:r>
    </w:p>
    <w:p w14:paraId="35AAEEF1" w14:textId="77777777" w:rsidR="00AB6FD5" w:rsidRPr="00E84524" w:rsidRDefault="00AB6FD5" w:rsidP="00597CD7">
      <w:pPr>
        <w:numPr>
          <w:ilvl w:val="0"/>
          <w:numId w:val="224"/>
        </w:numPr>
        <w:jc w:val="both"/>
        <w:rPr>
          <w:sz w:val="22"/>
          <w:szCs w:val="22"/>
          <w:lang w:val="en-GB"/>
        </w:rPr>
      </w:pPr>
      <w:r w:rsidRPr="00E84524">
        <w:rPr>
          <w:rFonts w:eastAsiaTheme="minorEastAsia"/>
          <w:b/>
          <w:bCs/>
          <w:sz w:val="22"/>
          <w:szCs w:val="22"/>
          <w:lang w:val="en-GB"/>
        </w:rPr>
        <w:t>Reduction in Recidivism Rates:</w:t>
      </w:r>
    </w:p>
    <w:p w14:paraId="799D74F4" w14:textId="77777777" w:rsidR="00840F13" w:rsidRPr="00E84524" w:rsidRDefault="00000000" w:rsidP="00597CD7">
      <w:pPr>
        <w:numPr>
          <w:ilvl w:val="0"/>
          <w:numId w:val="231"/>
        </w:numPr>
        <w:jc w:val="both"/>
        <w:rPr>
          <w:sz w:val="22"/>
          <w:szCs w:val="22"/>
          <w:lang w:val="en-GB"/>
        </w:rPr>
      </w:pPr>
      <w:r w:rsidRPr="00E84524">
        <w:rPr>
          <w:rFonts w:eastAsiaTheme="minorEastAsia"/>
          <w:sz w:val="22"/>
          <w:szCs w:val="22"/>
          <w:lang w:val="en-GB"/>
        </w:rPr>
        <w:t>Percentage change in recidivism rates among children within the project period.</w:t>
      </w:r>
    </w:p>
    <w:p w14:paraId="289CB9F1" w14:textId="4205C73D" w:rsidR="00840F13" w:rsidRPr="00E84524" w:rsidRDefault="00000000" w:rsidP="00597CD7">
      <w:pPr>
        <w:numPr>
          <w:ilvl w:val="0"/>
          <w:numId w:val="231"/>
        </w:numPr>
        <w:jc w:val="both"/>
        <w:rPr>
          <w:sz w:val="22"/>
          <w:szCs w:val="22"/>
          <w:lang w:val="en-GB"/>
        </w:rPr>
      </w:pPr>
      <w:r w:rsidRPr="00E84524">
        <w:rPr>
          <w:rFonts w:eastAsiaTheme="minorEastAsia"/>
          <w:sz w:val="22"/>
          <w:szCs w:val="22"/>
          <w:lang w:val="en-GB"/>
        </w:rPr>
        <w:t xml:space="preserve">Number of children successfully reintegrated into society after </w:t>
      </w:r>
      <w:r w:rsidR="006C5CC9" w:rsidRPr="00EE71C7">
        <w:rPr>
          <w:sz w:val="22"/>
          <w:szCs w:val="22"/>
          <w:lang w:val="en-GB"/>
        </w:rPr>
        <w:t xml:space="preserve">mediation and diversion-like measures </w:t>
      </w:r>
      <w:r w:rsidRPr="00E84524">
        <w:rPr>
          <w:rFonts w:eastAsiaTheme="minorEastAsia"/>
          <w:sz w:val="22"/>
          <w:szCs w:val="22"/>
          <w:lang w:val="en-GB"/>
        </w:rPr>
        <w:t>or rehabilitation programs.</w:t>
      </w:r>
    </w:p>
    <w:p w14:paraId="1F960B6C" w14:textId="77777777" w:rsidR="00840F13" w:rsidRPr="00E84524" w:rsidRDefault="00000000" w:rsidP="00597CD7">
      <w:pPr>
        <w:numPr>
          <w:ilvl w:val="0"/>
          <w:numId w:val="231"/>
        </w:numPr>
        <w:jc w:val="both"/>
        <w:rPr>
          <w:sz w:val="22"/>
          <w:szCs w:val="22"/>
          <w:lang w:val="en-GB"/>
        </w:rPr>
      </w:pPr>
      <w:r w:rsidRPr="00E84524">
        <w:rPr>
          <w:rFonts w:eastAsiaTheme="minorEastAsia"/>
          <w:sz w:val="22"/>
          <w:szCs w:val="22"/>
          <w:lang w:val="en-GB"/>
        </w:rPr>
        <w:t>Qualitative data on factors influencing reductions in reoffending (e.g., improved support systems, rehabilitation services).</w:t>
      </w:r>
    </w:p>
    <w:p w14:paraId="5A4102E7" w14:textId="77777777" w:rsidR="00AB6FD5" w:rsidRPr="00E84524" w:rsidRDefault="00AB6FD5" w:rsidP="00597CD7">
      <w:pPr>
        <w:numPr>
          <w:ilvl w:val="0"/>
          <w:numId w:val="224"/>
        </w:numPr>
        <w:jc w:val="both"/>
        <w:rPr>
          <w:sz w:val="22"/>
          <w:szCs w:val="22"/>
          <w:lang w:val="en-GB"/>
        </w:rPr>
      </w:pPr>
      <w:r w:rsidRPr="00E84524">
        <w:rPr>
          <w:rFonts w:eastAsiaTheme="minorEastAsia"/>
          <w:b/>
          <w:bCs/>
          <w:sz w:val="22"/>
          <w:szCs w:val="22"/>
          <w:lang w:val="en-GB"/>
        </w:rPr>
        <w:t>Shift in Societal Perceptions:</w:t>
      </w:r>
    </w:p>
    <w:p w14:paraId="0B193B80" w14:textId="77777777" w:rsidR="00840F13" w:rsidRPr="00E84524" w:rsidRDefault="00000000" w:rsidP="00597CD7">
      <w:pPr>
        <w:numPr>
          <w:ilvl w:val="0"/>
          <w:numId w:val="232"/>
        </w:numPr>
        <w:jc w:val="both"/>
        <w:rPr>
          <w:sz w:val="22"/>
          <w:szCs w:val="22"/>
          <w:lang w:val="en-GB"/>
        </w:rPr>
      </w:pPr>
      <w:r w:rsidRPr="00E84524">
        <w:rPr>
          <w:rFonts w:eastAsiaTheme="minorEastAsia"/>
          <w:sz w:val="22"/>
          <w:szCs w:val="22"/>
          <w:lang w:val="en-GB"/>
        </w:rPr>
        <w:t>Percentage of surveyed stakeholders and community members expressing support for rehabilitative justice for children (pre- and post-project surveys).</w:t>
      </w:r>
    </w:p>
    <w:p w14:paraId="620C6056" w14:textId="77777777" w:rsidR="00840F13" w:rsidRPr="00E84524" w:rsidRDefault="00000000" w:rsidP="00597CD7">
      <w:pPr>
        <w:numPr>
          <w:ilvl w:val="0"/>
          <w:numId w:val="232"/>
        </w:numPr>
        <w:jc w:val="both"/>
        <w:rPr>
          <w:sz w:val="22"/>
          <w:szCs w:val="22"/>
          <w:lang w:val="en-GB"/>
        </w:rPr>
      </w:pPr>
      <w:r w:rsidRPr="00E84524">
        <w:rPr>
          <w:rFonts w:eastAsiaTheme="minorEastAsia"/>
          <w:sz w:val="22"/>
          <w:szCs w:val="22"/>
          <w:lang w:val="en-GB"/>
        </w:rPr>
        <w:t>Changes in media representation of children in conflict with the law (frequency of articles with positive narratives).</w:t>
      </w:r>
    </w:p>
    <w:p w14:paraId="0FD89DFC" w14:textId="72B95822" w:rsidR="00AB6FD5" w:rsidRPr="00E84524" w:rsidRDefault="006C5CC9" w:rsidP="00597CD7">
      <w:pPr>
        <w:numPr>
          <w:ilvl w:val="0"/>
          <w:numId w:val="224"/>
        </w:numPr>
        <w:jc w:val="both"/>
        <w:rPr>
          <w:sz w:val="22"/>
          <w:szCs w:val="22"/>
          <w:lang w:val="en-GB"/>
        </w:rPr>
      </w:pPr>
      <w:r>
        <w:rPr>
          <w:sz w:val="22"/>
          <w:szCs w:val="22"/>
          <w:lang w:val="en-GB"/>
        </w:rPr>
        <w:t>M</w:t>
      </w:r>
      <w:r w:rsidRPr="00EE71C7">
        <w:rPr>
          <w:sz w:val="22"/>
          <w:szCs w:val="22"/>
          <w:lang w:val="en-GB"/>
        </w:rPr>
        <w:t xml:space="preserve">ediation and diversion-like measures </w:t>
      </w:r>
      <w:r w:rsidR="00AB6FD5" w:rsidRPr="00E84524">
        <w:rPr>
          <w:rFonts w:eastAsiaTheme="minorEastAsia"/>
          <w:b/>
          <w:bCs/>
          <w:sz w:val="22"/>
          <w:szCs w:val="22"/>
          <w:lang w:val="en-GB"/>
        </w:rPr>
        <w:t>for Children:</w:t>
      </w:r>
    </w:p>
    <w:p w14:paraId="04317EC1" w14:textId="77777777" w:rsidR="00840F13" w:rsidRPr="00E84524" w:rsidRDefault="00000000" w:rsidP="00597CD7">
      <w:pPr>
        <w:numPr>
          <w:ilvl w:val="0"/>
          <w:numId w:val="233"/>
        </w:numPr>
        <w:jc w:val="both"/>
        <w:rPr>
          <w:sz w:val="22"/>
          <w:szCs w:val="22"/>
          <w:lang w:val="en-GB"/>
        </w:rPr>
      </w:pPr>
      <w:r w:rsidRPr="00E84524">
        <w:rPr>
          <w:rFonts w:eastAsiaTheme="minorEastAsia"/>
          <w:sz w:val="22"/>
          <w:szCs w:val="22"/>
          <w:lang w:val="en-GB"/>
        </w:rPr>
        <w:t>Number and percentage of children diverted from formal court proceedings to alternative mechanisms.</w:t>
      </w:r>
    </w:p>
    <w:p w14:paraId="79D85A0C" w14:textId="77777777" w:rsidR="00AB6FD5" w:rsidRPr="00E84524" w:rsidRDefault="00AB6FD5" w:rsidP="00597CD7">
      <w:pPr>
        <w:numPr>
          <w:ilvl w:val="0"/>
          <w:numId w:val="224"/>
        </w:numPr>
        <w:jc w:val="both"/>
        <w:rPr>
          <w:sz w:val="22"/>
          <w:szCs w:val="22"/>
          <w:lang w:val="en-GB"/>
        </w:rPr>
      </w:pPr>
      <w:r w:rsidRPr="00E84524">
        <w:rPr>
          <w:rFonts w:eastAsiaTheme="minorEastAsia"/>
          <w:b/>
          <w:bCs/>
          <w:sz w:val="22"/>
          <w:szCs w:val="22"/>
          <w:lang w:val="en-GB"/>
        </w:rPr>
        <w:t>Expanded Mediation for Minor Offenses:</w:t>
      </w:r>
    </w:p>
    <w:p w14:paraId="7C037771" w14:textId="5EEDC389" w:rsidR="00840F13" w:rsidRPr="00E84524" w:rsidRDefault="00000000" w:rsidP="00597CD7">
      <w:pPr>
        <w:numPr>
          <w:ilvl w:val="0"/>
          <w:numId w:val="234"/>
        </w:numPr>
        <w:jc w:val="both"/>
        <w:rPr>
          <w:sz w:val="22"/>
          <w:szCs w:val="22"/>
          <w:lang w:val="en-GB"/>
        </w:rPr>
      </w:pPr>
      <w:r w:rsidRPr="00E84524">
        <w:rPr>
          <w:rFonts w:eastAsiaTheme="minorEastAsia"/>
          <w:sz w:val="22"/>
          <w:szCs w:val="22"/>
          <w:lang w:val="en-GB"/>
        </w:rPr>
        <w:t xml:space="preserve">Number of cases involving children resolved through mediation for petty </w:t>
      </w:r>
      <w:r w:rsidR="00597CD7">
        <w:rPr>
          <w:rFonts w:eastAsiaTheme="minorEastAsia"/>
          <w:sz w:val="22"/>
          <w:szCs w:val="22"/>
          <w:lang w:val="en-GB"/>
        </w:rPr>
        <w:t>offences</w:t>
      </w:r>
      <w:r w:rsidRPr="00E84524">
        <w:rPr>
          <w:rFonts w:eastAsiaTheme="minorEastAsia"/>
          <w:sz w:val="22"/>
          <w:szCs w:val="22"/>
          <w:lang w:val="en-GB"/>
        </w:rPr>
        <w:t xml:space="preserve"> under the increased monetary threshold.</w:t>
      </w:r>
    </w:p>
    <w:p w14:paraId="7753E7CE" w14:textId="141F1B14" w:rsidR="00AB6FD5" w:rsidRPr="0056164E" w:rsidRDefault="00000000" w:rsidP="00597CD7">
      <w:pPr>
        <w:numPr>
          <w:ilvl w:val="0"/>
          <w:numId w:val="234"/>
        </w:numPr>
        <w:jc w:val="both"/>
        <w:rPr>
          <w:sz w:val="22"/>
          <w:szCs w:val="22"/>
          <w:lang w:val="en-GB"/>
        </w:rPr>
      </w:pPr>
      <w:r w:rsidRPr="00E84524">
        <w:rPr>
          <w:rFonts w:eastAsiaTheme="minorEastAsia"/>
          <w:sz w:val="22"/>
          <w:szCs w:val="22"/>
          <w:lang w:val="en-GB"/>
        </w:rPr>
        <w:t>Percentage change in children entering the court system for petty crimes.</w:t>
      </w:r>
    </w:p>
    <w:p w14:paraId="2ED6E009" w14:textId="244BFEF9" w:rsidR="0056164E" w:rsidRPr="0056164E" w:rsidRDefault="00AB6FD5" w:rsidP="00597CD7">
      <w:pPr>
        <w:numPr>
          <w:ilvl w:val="0"/>
          <w:numId w:val="205"/>
        </w:numPr>
        <w:tabs>
          <w:tab w:val="num" w:pos="720"/>
        </w:tabs>
        <w:jc w:val="both"/>
        <w:rPr>
          <w:sz w:val="22"/>
          <w:szCs w:val="22"/>
          <w:lang w:val="en-GB"/>
        </w:rPr>
      </w:pPr>
      <w:r w:rsidRPr="007A5C5F">
        <w:rPr>
          <w:b/>
          <w:bCs/>
          <w:sz w:val="22"/>
          <w:szCs w:val="22"/>
          <w:lang w:val="en-GB"/>
        </w:rPr>
        <w:lastRenderedPageBreak/>
        <w:t xml:space="preserve">Strengthen Gender-Responsive </w:t>
      </w:r>
      <w:r w:rsidRPr="0056164E">
        <w:rPr>
          <w:b/>
          <w:bCs/>
          <w:sz w:val="22"/>
          <w:szCs w:val="22"/>
          <w:lang w:val="en-GB"/>
        </w:rPr>
        <w:t>and vulnerability considerations</w:t>
      </w:r>
      <w:r w:rsidRPr="007A5C5F">
        <w:rPr>
          <w:b/>
          <w:bCs/>
          <w:sz w:val="22"/>
          <w:szCs w:val="22"/>
          <w:lang w:val="en-GB"/>
        </w:rPr>
        <w:t xml:space="preserve"> Monitoring and Data Collection </w:t>
      </w:r>
      <w:r w:rsidR="0056164E" w:rsidRPr="0056164E">
        <w:rPr>
          <w:b/>
          <w:bCs/>
          <w:sz w:val="22"/>
          <w:szCs w:val="22"/>
          <w:lang w:val="en-GB"/>
        </w:rPr>
        <w:t>Make gender-disaggregated data collection mandatory</w:t>
      </w:r>
      <w:r w:rsidR="0056164E" w:rsidRPr="0056164E">
        <w:rPr>
          <w:sz w:val="22"/>
          <w:szCs w:val="22"/>
          <w:lang w:val="en-GB"/>
        </w:rPr>
        <w:t xml:space="preserve"> across all relevant indicators.</w:t>
      </w:r>
    </w:p>
    <w:p w14:paraId="045D91C4" w14:textId="0C3EBE89" w:rsidR="0056164E" w:rsidRPr="007A5C5F" w:rsidRDefault="00AB6FD5" w:rsidP="00597CD7">
      <w:pPr>
        <w:numPr>
          <w:ilvl w:val="1"/>
          <w:numId w:val="235"/>
        </w:numPr>
        <w:tabs>
          <w:tab w:val="num" w:pos="1440"/>
        </w:tabs>
        <w:jc w:val="both"/>
        <w:rPr>
          <w:sz w:val="22"/>
          <w:szCs w:val="22"/>
          <w:lang w:val="en-GB"/>
        </w:rPr>
      </w:pPr>
      <w:r w:rsidRPr="007A5C5F">
        <w:rPr>
          <w:sz w:val="22"/>
          <w:szCs w:val="22"/>
          <w:lang w:val="en-GB"/>
        </w:rPr>
        <w:t>Introduce indicators</w:t>
      </w:r>
      <w:r w:rsidR="0056164E" w:rsidRPr="0056164E">
        <w:rPr>
          <w:sz w:val="22"/>
          <w:szCs w:val="22"/>
          <w:lang w:val="en-GB"/>
        </w:rPr>
        <w:t xml:space="preserve"> to assess how justice reforms </w:t>
      </w:r>
      <w:r w:rsidR="0056164E" w:rsidRPr="0056164E">
        <w:rPr>
          <w:b/>
          <w:bCs/>
          <w:sz w:val="22"/>
          <w:szCs w:val="22"/>
          <w:lang w:val="en-GB"/>
        </w:rPr>
        <w:t>impact women, children, and marginalized communities</w:t>
      </w:r>
      <w:r w:rsidR="0056164E" w:rsidRPr="0056164E">
        <w:rPr>
          <w:sz w:val="22"/>
          <w:szCs w:val="22"/>
          <w:lang w:val="en-GB"/>
        </w:rPr>
        <w:t xml:space="preserve"> (e.g., "Percentage of women accessing legal aid who report improved justice outcomes").</w:t>
      </w:r>
    </w:p>
    <w:p w14:paraId="3EBC68D5" w14:textId="77777777" w:rsidR="00AB6FD5" w:rsidRPr="00BE305F" w:rsidRDefault="00AB6FD5" w:rsidP="00597CD7">
      <w:pPr>
        <w:numPr>
          <w:ilvl w:val="1"/>
          <w:numId w:val="235"/>
        </w:numPr>
        <w:jc w:val="both"/>
        <w:rPr>
          <w:sz w:val="22"/>
          <w:szCs w:val="22"/>
          <w:lang w:val="en-GB"/>
        </w:rPr>
      </w:pPr>
      <w:r w:rsidRPr="00BE305F">
        <w:rPr>
          <w:sz w:val="22"/>
          <w:szCs w:val="22"/>
          <w:lang w:val="en-GB"/>
        </w:rPr>
        <w:t>Ensure all justice sector data is disaggregated by gender, age, disability, and case type to track progress on human rights and gender equality commitments.</w:t>
      </w:r>
    </w:p>
    <w:p w14:paraId="5D0E8CC4" w14:textId="77777777" w:rsidR="00AB6FD5" w:rsidRPr="00BE305F" w:rsidRDefault="00AB6FD5" w:rsidP="00597CD7">
      <w:pPr>
        <w:numPr>
          <w:ilvl w:val="1"/>
          <w:numId w:val="236"/>
        </w:numPr>
        <w:jc w:val="both"/>
        <w:rPr>
          <w:sz w:val="22"/>
          <w:szCs w:val="22"/>
          <w:lang w:val="en-GB"/>
        </w:rPr>
      </w:pPr>
      <w:r w:rsidRPr="00BE305F">
        <w:rPr>
          <w:sz w:val="22"/>
          <w:szCs w:val="22"/>
          <w:lang w:val="en-GB"/>
        </w:rPr>
        <w:t>Refine JURE’s gender indicators to measure not just service provision (e.g., legal aid numbers) but actual legal outcomes, such as restored property rights, case resolutions, and compensation received.</w:t>
      </w:r>
    </w:p>
    <w:p w14:paraId="3DB619D6" w14:textId="4C953DCA" w:rsidR="00AB6FD5" w:rsidRPr="0056164E" w:rsidRDefault="00AB6FD5" w:rsidP="00597CD7">
      <w:pPr>
        <w:numPr>
          <w:ilvl w:val="0"/>
          <w:numId w:val="205"/>
        </w:numPr>
        <w:tabs>
          <w:tab w:val="num" w:pos="720"/>
        </w:tabs>
        <w:jc w:val="both"/>
        <w:rPr>
          <w:b/>
          <w:bCs/>
          <w:sz w:val="22"/>
          <w:szCs w:val="22"/>
          <w:lang w:val="en-GB"/>
        </w:rPr>
      </w:pPr>
      <w:r w:rsidRPr="00BE305F">
        <w:rPr>
          <w:b/>
          <w:bCs/>
          <w:sz w:val="22"/>
          <w:szCs w:val="22"/>
          <w:lang w:val="en-GB"/>
        </w:rPr>
        <w:t xml:space="preserve">Develop a centralized data management system for the </w:t>
      </w:r>
      <w:r w:rsidRPr="007A5C5F">
        <w:rPr>
          <w:b/>
          <w:bCs/>
          <w:sz w:val="22"/>
          <w:szCs w:val="22"/>
          <w:lang w:val="en-GB"/>
        </w:rPr>
        <w:t xml:space="preserve">MoJ, </w:t>
      </w:r>
      <w:r w:rsidRPr="00BE305F">
        <w:rPr>
          <w:b/>
          <w:bCs/>
          <w:sz w:val="22"/>
          <w:szCs w:val="22"/>
          <w:lang w:val="en-GB"/>
        </w:rPr>
        <w:t>Legal Aid Commission, Bar Association, and Women in Need to improve tracking and coordination of gender and disability-inclusive cases.</w:t>
      </w:r>
    </w:p>
    <w:p w14:paraId="14ADAD2D" w14:textId="77777777" w:rsidR="0056164E" w:rsidRPr="0056164E" w:rsidRDefault="0056164E" w:rsidP="00597CD7">
      <w:pPr>
        <w:numPr>
          <w:ilvl w:val="0"/>
          <w:numId w:val="205"/>
        </w:numPr>
        <w:tabs>
          <w:tab w:val="num" w:pos="720"/>
        </w:tabs>
        <w:jc w:val="both"/>
        <w:rPr>
          <w:sz w:val="22"/>
          <w:szCs w:val="22"/>
          <w:lang w:val="en-GB"/>
        </w:rPr>
      </w:pPr>
      <w:r w:rsidRPr="0056164E">
        <w:rPr>
          <w:b/>
          <w:bCs/>
          <w:sz w:val="22"/>
          <w:szCs w:val="22"/>
          <w:lang w:val="en-GB"/>
        </w:rPr>
        <w:t>Clarify and rationalize targets</w:t>
      </w:r>
      <w:r w:rsidRPr="0056164E">
        <w:rPr>
          <w:sz w:val="22"/>
          <w:szCs w:val="22"/>
          <w:lang w:val="en-GB"/>
        </w:rPr>
        <w:t>:</w:t>
      </w:r>
    </w:p>
    <w:p w14:paraId="65D947D3" w14:textId="77777777" w:rsidR="0056164E" w:rsidRPr="0056164E" w:rsidRDefault="0056164E" w:rsidP="00597CD7">
      <w:pPr>
        <w:numPr>
          <w:ilvl w:val="1"/>
          <w:numId w:val="237"/>
        </w:numPr>
        <w:jc w:val="both"/>
        <w:rPr>
          <w:sz w:val="22"/>
          <w:szCs w:val="22"/>
          <w:lang w:val="en-GB"/>
        </w:rPr>
      </w:pPr>
      <w:r w:rsidRPr="0056164E">
        <w:rPr>
          <w:sz w:val="22"/>
          <w:szCs w:val="22"/>
          <w:lang w:val="en-GB"/>
        </w:rPr>
        <w:t xml:space="preserve">Set </w:t>
      </w:r>
      <w:r w:rsidRPr="0056164E">
        <w:rPr>
          <w:b/>
          <w:bCs/>
          <w:sz w:val="22"/>
          <w:szCs w:val="22"/>
          <w:lang w:val="en-GB"/>
        </w:rPr>
        <w:t>realistic, evidence-based targets</w:t>
      </w:r>
      <w:r w:rsidRPr="0056164E">
        <w:rPr>
          <w:sz w:val="22"/>
          <w:szCs w:val="22"/>
          <w:lang w:val="en-GB"/>
        </w:rPr>
        <w:t xml:space="preserve"> for all indicators, ensuring that they align with </w:t>
      </w:r>
      <w:r w:rsidRPr="0056164E">
        <w:rPr>
          <w:b/>
          <w:bCs/>
          <w:sz w:val="22"/>
          <w:szCs w:val="22"/>
          <w:lang w:val="en-GB"/>
        </w:rPr>
        <w:t>historical trends and available resources</w:t>
      </w:r>
      <w:r w:rsidRPr="0056164E">
        <w:rPr>
          <w:sz w:val="22"/>
          <w:szCs w:val="22"/>
          <w:lang w:val="en-GB"/>
        </w:rPr>
        <w:t>.</w:t>
      </w:r>
    </w:p>
    <w:p w14:paraId="5BA5577F" w14:textId="77777777" w:rsidR="0056164E" w:rsidRPr="0056164E" w:rsidRDefault="0056164E" w:rsidP="00597CD7">
      <w:pPr>
        <w:numPr>
          <w:ilvl w:val="1"/>
          <w:numId w:val="237"/>
        </w:numPr>
        <w:jc w:val="both"/>
        <w:rPr>
          <w:sz w:val="22"/>
          <w:szCs w:val="22"/>
          <w:lang w:val="en-GB"/>
        </w:rPr>
      </w:pPr>
      <w:r w:rsidRPr="0056164E">
        <w:rPr>
          <w:sz w:val="22"/>
          <w:szCs w:val="22"/>
          <w:lang w:val="en-GB"/>
        </w:rPr>
        <w:t xml:space="preserve">Include </w:t>
      </w:r>
      <w:r w:rsidRPr="0056164E">
        <w:rPr>
          <w:b/>
          <w:bCs/>
          <w:sz w:val="22"/>
          <w:szCs w:val="22"/>
          <w:lang w:val="en-GB"/>
        </w:rPr>
        <w:t>mid-term milestones</w:t>
      </w:r>
      <w:r w:rsidRPr="0056164E">
        <w:rPr>
          <w:sz w:val="22"/>
          <w:szCs w:val="22"/>
          <w:lang w:val="en-GB"/>
        </w:rPr>
        <w:t xml:space="preserve"> for institutional reforms to track incremental progress.</w:t>
      </w:r>
    </w:p>
    <w:p w14:paraId="711A87EA" w14:textId="77777777" w:rsidR="0056164E" w:rsidRPr="0056164E" w:rsidRDefault="0056164E" w:rsidP="00597CD7">
      <w:pPr>
        <w:numPr>
          <w:ilvl w:val="0"/>
          <w:numId w:val="205"/>
        </w:numPr>
        <w:tabs>
          <w:tab w:val="num" w:pos="720"/>
        </w:tabs>
        <w:jc w:val="both"/>
        <w:rPr>
          <w:sz w:val="22"/>
          <w:szCs w:val="22"/>
          <w:lang w:val="en-GB"/>
        </w:rPr>
      </w:pPr>
      <w:r w:rsidRPr="0056164E">
        <w:rPr>
          <w:b/>
          <w:bCs/>
          <w:sz w:val="22"/>
          <w:szCs w:val="22"/>
          <w:lang w:val="en-GB"/>
        </w:rPr>
        <w:t>Improve monitoring and data collection mechanisms</w:t>
      </w:r>
      <w:r w:rsidRPr="0056164E">
        <w:rPr>
          <w:sz w:val="22"/>
          <w:szCs w:val="22"/>
          <w:lang w:val="en-GB"/>
        </w:rPr>
        <w:t>:</w:t>
      </w:r>
    </w:p>
    <w:p w14:paraId="21DD019D" w14:textId="77777777" w:rsidR="0056164E" w:rsidRPr="0056164E" w:rsidRDefault="0056164E" w:rsidP="00597CD7">
      <w:pPr>
        <w:numPr>
          <w:ilvl w:val="1"/>
          <w:numId w:val="238"/>
        </w:numPr>
        <w:jc w:val="both"/>
        <w:rPr>
          <w:sz w:val="22"/>
          <w:szCs w:val="22"/>
          <w:lang w:val="en-GB"/>
        </w:rPr>
      </w:pPr>
      <w:r w:rsidRPr="0056164E">
        <w:rPr>
          <w:sz w:val="22"/>
          <w:szCs w:val="22"/>
          <w:lang w:val="en-GB"/>
        </w:rPr>
        <w:t xml:space="preserve">Develop a </w:t>
      </w:r>
      <w:r w:rsidRPr="0056164E">
        <w:rPr>
          <w:b/>
          <w:bCs/>
          <w:sz w:val="22"/>
          <w:szCs w:val="22"/>
          <w:lang w:val="en-GB"/>
        </w:rPr>
        <w:t>data collection strategy</w:t>
      </w:r>
      <w:r w:rsidRPr="0056164E">
        <w:rPr>
          <w:sz w:val="22"/>
          <w:szCs w:val="22"/>
          <w:lang w:val="en-GB"/>
        </w:rPr>
        <w:t xml:space="preserve"> that ensures consistent reporting across different institutions.</w:t>
      </w:r>
    </w:p>
    <w:p w14:paraId="3693A333" w14:textId="77777777" w:rsidR="0056164E" w:rsidRDefault="0056164E" w:rsidP="00597CD7">
      <w:pPr>
        <w:numPr>
          <w:ilvl w:val="1"/>
          <w:numId w:val="238"/>
        </w:numPr>
        <w:jc w:val="both"/>
        <w:rPr>
          <w:sz w:val="22"/>
          <w:szCs w:val="22"/>
          <w:lang w:val="en-GB"/>
        </w:rPr>
      </w:pPr>
      <w:r w:rsidRPr="0056164E">
        <w:rPr>
          <w:sz w:val="22"/>
          <w:szCs w:val="22"/>
          <w:lang w:val="en-GB"/>
        </w:rPr>
        <w:t xml:space="preserve">Ensure that </w:t>
      </w:r>
      <w:r w:rsidRPr="0056164E">
        <w:rPr>
          <w:b/>
          <w:bCs/>
          <w:sz w:val="22"/>
          <w:szCs w:val="22"/>
          <w:lang w:val="en-GB"/>
        </w:rPr>
        <w:t>perception survey methodologies are clearly defined</w:t>
      </w:r>
      <w:r w:rsidRPr="0056164E">
        <w:rPr>
          <w:sz w:val="22"/>
          <w:szCs w:val="22"/>
          <w:lang w:val="en-GB"/>
        </w:rPr>
        <w:t>, including sampling methods, frequency, and intended use of findings.</w:t>
      </w:r>
    </w:p>
    <w:p w14:paraId="03049AD7" w14:textId="67674978" w:rsidR="003D17FD" w:rsidRPr="0056164E" w:rsidRDefault="003D17FD" w:rsidP="00597CD7">
      <w:pPr>
        <w:numPr>
          <w:ilvl w:val="1"/>
          <w:numId w:val="238"/>
        </w:numPr>
        <w:jc w:val="both"/>
        <w:rPr>
          <w:sz w:val="22"/>
          <w:szCs w:val="22"/>
          <w:lang w:val="en-GB"/>
        </w:rPr>
      </w:pPr>
      <w:r w:rsidRPr="003D17FD">
        <w:rPr>
          <w:sz w:val="22"/>
          <w:szCs w:val="22"/>
        </w:rPr>
        <w:t>Utiliz</w:t>
      </w:r>
      <w:r>
        <w:rPr>
          <w:sz w:val="22"/>
          <w:szCs w:val="22"/>
        </w:rPr>
        <w:t>e</w:t>
      </w:r>
      <w:r w:rsidRPr="003D17FD">
        <w:rPr>
          <w:sz w:val="22"/>
          <w:szCs w:val="22"/>
        </w:rPr>
        <w:t xml:space="preserve"> the </w:t>
      </w:r>
      <w:r w:rsidRPr="003D17FD">
        <w:rPr>
          <w:b/>
          <w:bCs/>
          <w:sz w:val="22"/>
          <w:szCs w:val="22"/>
        </w:rPr>
        <w:t>Logframe</w:t>
      </w:r>
      <w:r w:rsidRPr="003D17FD">
        <w:rPr>
          <w:sz w:val="22"/>
          <w:szCs w:val="22"/>
        </w:rPr>
        <w:t xml:space="preserve"> as a project monitoring tool</w:t>
      </w:r>
      <w:r>
        <w:rPr>
          <w:sz w:val="22"/>
          <w:szCs w:val="22"/>
        </w:rPr>
        <w:t xml:space="preserve"> to</w:t>
      </w:r>
      <w:r w:rsidRPr="003D17FD">
        <w:rPr>
          <w:sz w:val="22"/>
          <w:szCs w:val="22"/>
        </w:rPr>
        <w:t xml:space="preserve"> ensur</w:t>
      </w:r>
      <w:r>
        <w:rPr>
          <w:sz w:val="22"/>
          <w:szCs w:val="22"/>
        </w:rPr>
        <w:t>e</w:t>
      </w:r>
      <w:r w:rsidRPr="003D17FD">
        <w:rPr>
          <w:sz w:val="22"/>
          <w:szCs w:val="22"/>
        </w:rPr>
        <w:t xml:space="preserve"> systematic tracking of progress. Moreover, advanc</w:t>
      </w:r>
      <w:r>
        <w:rPr>
          <w:sz w:val="22"/>
          <w:szCs w:val="22"/>
        </w:rPr>
        <w:t>e</w:t>
      </w:r>
      <w:r w:rsidRPr="003D17FD">
        <w:rPr>
          <w:sz w:val="22"/>
          <w:szCs w:val="22"/>
        </w:rPr>
        <w:t xml:space="preserve"> reporting beyond activity-based updates to focus on measurable progress toward impact </w:t>
      </w:r>
      <w:r>
        <w:rPr>
          <w:sz w:val="22"/>
          <w:szCs w:val="22"/>
        </w:rPr>
        <w:t xml:space="preserve">in order to </w:t>
      </w:r>
      <w:r w:rsidRPr="003D17FD">
        <w:rPr>
          <w:sz w:val="22"/>
          <w:szCs w:val="22"/>
        </w:rPr>
        <w:t>enhance accountability, facilitate informed decision-making, and strengthen the project’s overall effectiveness.</w:t>
      </w:r>
    </w:p>
    <w:p w14:paraId="7A4EDE80" w14:textId="54991145" w:rsidR="003724A8" w:rsidRPr="007A5C5F" w:rsidRDefault="003724A8" w:rsidP="00D24919">
      <w:pPr>
        <w:pStyle w:val="Heading3"/>
        <w:jc w:val="center"/>
        <w:rPr>
          <w:rFonts w:ascii="Times New Roman" w:hAnsi="Times New Roman" w:cs="Times New Roman"/>
          <w:lang w:val="en-GB"/>
        </w:rPr>
      </w:pPr>
      <w:r w:rsidRPr="007A5C5F">
        <w:rPr>
          <w:rFonts w:ascii="Times New Roman" w:hAnsi="Times New Roman" w:cs="Times New Roman"/>
          <w:lang w:val="en-GB"/>
        </w:rPr>
        <w:t xml:space="preserve">RECOMMENDATION 2 – </w:t>
      </w:r>
      <w:r w:rsidR="00254A44" w:rsidRPr="00D96318">
        <w:rPr>
          <w:rFonts w:ascii="Times New Roman" w:hAnsi="Times New Roman" w:cs="Times New Roman"/>
          <w:lang w:val="en-GB"/>
        </w:rPr>
        <w:t xml:space="preserve">Stocktaking and Prioritization for the Next Work </w:t>
      </w:r>
      <w:r w:rsidR="00AB6FD5" w:rsidRPr="007A5C5F">
        <w:rPr>
          <w:rFonts w:ascii="Times New Roman" w:hAnsi="Times New Roman" w:cs="Times New Roman"/>
          <w:lang w:val="en-GB"/>
        </w:rPr>
        <w:t>Plan (</w:t>
      </w:r>
      <w:r w:rsidR="00AB6FD5" w:rsidRPr="00D96318">
        <w:rPr>
          <w:rFonts w:ascii="Times New Roman" w:hAnsi="Times New Roman" w:cs="Times New Roman"/>
          <w:lang w:val="en-GB"/>
        </w:rPr>
        <w:t>Finding 1, Finding 2).</w:t>
      </w:r>
    </w:p>
    <w:p w14:paraId="4BCE4A36" w14:textId="77777777" w:rsidR="00325CFF" w:rsidRPr="007A5C5F" w:rsidRDefault="00325CFF" w:rsidP="00325CFF">
      <w:pPr>
        <w:rPr>
          <w:lang w:val="en-GB"/>
        </w:rPr>
      </w:pPr>
    </w:p>
    <w:p w14:paraId="6554425F" w14:textId="4A656A30" w:rsidR="00325CFF" w:rsidRPr="006D3B28" w:rsidRDefault="00325CFF" w:rsidP="00325CFF">
      <w:pPr>
        <w:rPr>
          <w:i/>
          <w:iCs/>
          <w:sz w:val="22"/>
          <w:szCs w:val="22"/>
          <w:lang w:val="en-GB"/>
        </w:rPr>
      </w:pPr>
      <w:r w:rsidRPr="006D3B28">
        <w:rPr>
          <w:i/>
          <w:iCs/>
          <w:sz w:val="22"/>
          <w:szCs w:val="22"/>
          <w:lang w:val="en-GB"/>
        </w:rPr>
        <w:t>Responsible Entity: JURE Project Management Office</w:t>
      </w:r>
      <w:r w:rsidRPr="006D3B28">
        <w:rPr>
          <w:sz w:val="22"/>
          <w:szCs w:val="22"/>
          <w:lang w:val="en-GB"/>
        </w:rPr>
        <w:br/>
      </w:r>
      <w:r w:rsidRPr="006D3B28">
        <w:rPr>
          <w:i/>
          <w:iCs/>
          <w:sz w:val="22"/>
          <w:szCs w:val="22"/>
          <w:lang w:val="en-GB"/>
        </w:rPr>
        <w:t>Priority Level: Medium</w:t>
      </w:r>
      <w:r w:rsidRPr="006D3B28">
        <w:rPr>
          <w:sz w:val="22"/>
          <w:szCs w:val="22"/>
          <w:lang w:val="en-GB"/>
        </w:rPr>
        <w:br/>
      </w:r>
      <w:r w:rsidRPr="006D3B28">
        <w:rPr>
          <w:i/>
          <w:iCs/>
          <w:sz w:val="22"/>
          <w:szCs w:val="22"/>
          <w:lang w:val="en-GB"/>
        </w:rPr>
        <w:t>Timeframe: Next 6 Months</w:t>
      </w:r>
    </w:p>
    <w:p w14:paraId="1B46EB51" w14:textId="77777777" w:rsidR="00325CFF" w:rsidRPr="007A5C5F" w:rsidRDefault="00325CFF" w:rsidP="00325CFF">
      <w:pPr>
        <w:rPr>
          <w:lang w:val="en-GB"/>
        </w:rPr>
      </w:pPr>
    </w:p>
    <w:p w14:paraId="1EEC8E44" w14:textId="64B2DE52" w:rsidR="00254A44" w:rsidRPr="00D96318" w:rsidRDefault="00254A44" w:rsidP="007226F8">
      <w:pPr>
        <w:numPr>
          <w:ilvl w:val="0"/>
          <w:numId w:val="243"/>
        </w:numPr>
        <w:jc w:val="both"/>
        <w:rPr>
          <w:rFonts w:eastAsia="AppleGothic"/>
          <w:b/>
          <w:bCs/>
          <w:sz w:val="22"/>
          <w:szCs w:val="22"/>
          <w:lang w:val="en-GB"/>
        </w:rPr>
      </w:pPr>
      <w:r w:rsidRPr="00D96318">
        <w:rPr>
          <w:rFonts w:eastAsia="AppleGothic"/>
          <w:b/>
          <w:bCs/>
          <w:sz w:val="22"/>
          <w:szCs w:val="22"/>
          <w:lang w:val="en-GB"/>
        </w:rPr>
        <w:t xml:space="preserve">Given the project’s remaining two-year duration, a comprehensive stocktaking exercise should be conducted to assess the feasibility of the newly introduced initiatives and focus on the most relevant areas </w:t>
      </w:r>
    </w:p>
    <w:p w14:paraId="31C9D5E8" w14:textId="29164355" w:rsidR="007226F8" w:rsidRPr="007A5C5F" w:rsidRDefault="00254A44" w:rsidP="007226F8">
      <w:pPr>
        <w:numPr>
          <w:ilvl w:val="0"/>
          <w:numId w:val="243"/>
        </w:numPr>
        <w:jc w:val="both"/>
        <w:rPr>
          <w:rFonts w:eastAsia="AppleGothic"/>
          <w:b/>
          <w:bCs/>
          <w:sz w:val="22"/>
          <w:szCs w:val="22"/>
          <w:lang w:val="en-GB"/>
        </w:rPr>
      </w:pPr>
      <w:r w:rsidRPr="00D96318">
        <w:rPr>
          <w:rFonts w:eastAsia="AppleGothic"/>
          <w:b/>
          <w:bCs/>
          <w:sz w:val="22"/>
          <w:szCs w:val="22"/>
          <w:lang w:val="en-GB"/>
        </w:rPr>
        <w:t xml:space="preserve">Redirect resources to strengthen judicial efficiency, digital transformation, and institutional sustainability, rather than overextending into new areas that may not be fully implemented within the available </w:t>
      </w:r>
      <w:r w:rsidR="009C2EF1" w:rsidRPr="007A5C5F">
        <w:rPr>
          <w:rFonts w:eastAsia="AppleGothic"/>
          <w:b/>
          <w:bCs/>
          <w:sz w:val="22"/>
          <w:szCs w:val="22"/>
          <w:lang w:val="en-GB"/>
        </w:rPr>
        <w:t>timeframe.</w:t>
      </w:r>
    </w:p>
    <w:p w14:paraId="1EB60E2D" w14:textId="77777777" w:rsidR="007226F8" w:rsidRPr="00CC5D19" w:rsidRDefault="007226F8" w:rsidP="007226F8">
      <w:pPr>
        <w:numPr>
          <w:ilvl w:val="0"/>
          <w:numId w:val="243"/>
        </w:numPr>
        <w:jc w:val="both"/>
        <w:rPr>
          <w:rFonts w:eastAsia="AppleGothic"/>
          <w:b/>
          <w:bCs/>
          <w:sz w:val="22"/>
          <w:szCs w:val="22"/>
          <w:lang w:val="en-GB"/>
        </w:rPr>
      </w:pPr>
      <w:r w:rsidRPr="00CC5D19">
        <w:rPr>
          <w:rFonts w:eastAsia="AppleGothic"/>
          <w:b/>
          <w:bCs/>
          <w:sz w:val="22"/>
          <w:szCs w:val="22"/>
          <w:lang w:val="en-GB"/>
        </w:rPr>
        <w:t>Establish a fast-track approval process for fund disbursement, ensuring approvals are completed within a fixed timeframe.</w:t>
      </w:r>
    </w:p>
    <w:p w14:paraId="494A8FB1" w14:textId="77777777" w:rsidR="007226F8" w:rsidRPr="00CC5D19" w:rsidRDefault="007226F8" w:rsidP="007226F8">
      <w:pPr>
        <w:numPr>
          <w:ilvl w:val="0"/>
          <w:numId w:val="244"/>
        </w:numPr>
        <w:jc w:val="both"/>
        <w:rPr>
          <w:sz w:val="22"/>
          <w:szCs w:val="22"/>
          <w:lang w:val="en-GB"/>
        </w:rPr>
      </w:pPr>
      <w:r w:rsidRPr="00CC5D19">
        <w:rPr>
          <w:sz w:val="22"/>
          <w:szCs w:val="22"/>
          <w:lang w:val="en-GB"/>
        </w:rPr>
        <w:t xml:space="preserve">Develop a </w:t>
      </w:r>
      <w:r w:rsidRPr="00CC5D19">
        <w:rPr>
          <w:rFonts w:eastAsia="AppleGothic"/>
          <w:b/>
          <w:bCs/>
          <w:sz w:val="22"/>
          <w:szCs w:val="22"/>
          <w:lang w:val="en-GB"/>
        </w:rPr>
        <w:t>financial risk management plan</w:t>
      </w:r>
      <w:r w:rsidRPr="00CC5D19">
        <w:rPr>
          <w:sz w:val="22"/>
          <w:szCs w:val="22"/>
          <w:lang w:val="en-GB"/>
        </w:rPr>
        <w:t xml:space="preserve"> to prevent future tranche reductions due to unreported expenditures.</w:t>
      </w:r>
    </w:p>
    <w:p w14:paraId="4C774DBF" w14:textId="77777777" w:rsidR="007226F8" w:rsidRPr="00CC5D19" w:rsidRDefault="007226F8" w:rsidP="007226F8">
      <w:pPr>
        <w:numPr>
          <w:ilvl w:val="0"/>
          <w:numId w:val="243"/>
        </w:numPr>
        <w:jc w:val="both"/>
        <w:rPr>
          <w:rFonts w:eastAsia="AppleGothic"/>
          <w:b/>
          <w:bCs/>
          <w:sz w:val="22"/>
          <w:szCs w:val="22"/>
          <w:lang w:val="en-GB"/>
        </w:rPr>
      </w:pPr>
      <w:r w:rsidRPr="00CC5D19">
        <w:rPr>
          <w:rFonts w:eastAsia="AppleGothic"/>
          <w:b/>
          <w:bCs/>
          <w:sz w:val="22"/>
          <w:szCs w:val="22"/>
          <w:lang w:val="en-GB"/>
        </w:rPr>
        <w:t>Address Staffing Shortages and Technical Capacity Gaps</w:t>
      </w:r>
    </w:p>
    <w:p w14:paraId="17EE6710" w14:textId="77777777" w:rsidR="007226F8" w:rsidRPr="00CC5D19" w:rsidRDefault="007226F8" w:rsidP="007226F8">
      <w:pPr>
        <w:numPr>
          <w:ilvl w:val="0"/>
          <w:numId w:val="245"/>
        </w:numPr>
        <w:jc w:val="both"/>
        <w:rPr>
          <w:sz w:val="22"/>
          <w:szCs w:val="22"/>
          <w:lang w:val="en-GB"/>
        </w:rPr>
      </w:pPr>
      <w:r w:rsidRPr="00CC5D19">
        <w:rPr>
          <w:rFonts w:eastAsia="AppleGothic"/>
          <w:b/>
          <w:bCs/>
          <w:sz w:val="22"/>
          <w:szCs w:val="22"/>
          <w:lang w:val="en-GB"/>
        </w:rPr>
        <w:t>Recruit additional personnel</w:t>
      </w:r>
      <w:r w:rsidRPr="00CC5D19">
        <w:rPr>
          <w:sz w:val="22"/>
          <w:szCs w:val="22"/>
          <w:lang w:val="en-GB"/>
        </w:rPr>
        <w:t xml:space="preserve"> to prevent administrative and technical bottlenecks.</w:t>
      </w:r>
    </w:p>
    <w:p w14:paraId="2FF4A003" w14:textId="77777777" w:rsidR="007226F8" w:rsidRPr="00CC5D19" w:rsidRDefault="007226F8" w:rsidP="007226F8">
      <w:pPr>
        <w:numPr>
          <w:ilvl w:val="0"/>
          <w:numId w:val="245"/>
        </w:numPr>
        <w:jc w:val="both"/>
        <w:rPr>
          <w:sz w:val="22"/>
          <w:szCs w:val="22"/>
          <w:lang w:val="en-GB"/>
        </w:rPr>
      </w:pPr>
      <w:r w:rsidRPr="00CC5D19">
        <w:rPr>
          <w:sz w:val="22"/>
          <w:szCs w:val="22"/>
          <w:lang w:val="en-GB"/>
        </w:rPr>
        <w:t xml:space="preserve">Adjust salary scales or explore </w:t>
      </w:r>
      <w:r w:rsidRPr="00CC5D19">
        <w:rPr>
          <w:rFonts w:eastAsia="AppleGothic"/>
          <w:b/>
          <w:bCs/>
          <w:sz w:val="22"/>
          <w:szCs w:val="22"/>
          <w:lang w:val="en-GB"/>
        </w:rPr>
        <w:t>performance-based incentives</w:t>
      </w:r>
      <w:r w:rsidRPr="00CC5D19">
        <w:rPr>
          <w:sz w:val="22"/>
          <w:szCs w:val="22"/>
          <w:lang w:val="en-GB"/>
        </w:rPr>
        <w:t xml:space="preserve"> to attract and retain qualified experts.</w:t>
      </w:r>
    </w:p>
    <w:p w14:paraId="56AB6CB4" w14:textId="77777777" w:rsidR="007226F8" w:rsidRPr="00CC5D19" w:rsidRDefault="007226F8" w:rsidP="007226F8">
      <w:pPr>
        <w:numPr>
          <w:ilvl w:val="0"/>
          <w:numId w:val="243"/>
        </w:numPr>
        <w:jc w:val="both"/>
        <w:rPr>
          <w:rFonts w:eastAsia="AppleGothic"/>
          <w:b/>
          <w:bCs/>
          <w:sz w:val="22"/>
          <w:szCs w:val="22"/>
          <w:lang w:val="en-GB"/>
        </w:rPr>
      </w:pPr>
      <w:r w:rsidRPr="00CC5D19">
        <w:rPr>
          <w:rFonts w:eastAsia="AppleGothic"/>
          <w:b/>
          <w:bCs/>
          <w:sz w:val="22"/>
          <w:szCs w:val="22"/>
          <w:lang w:val="en-GB"/>
        </w:rPr>
        <w:t>Optimize Value-for-Money and Resource Allocation</w:t>
      </w:r>
    </w:p>
    <w:p w14:paraId="09761886" w14:textId="77777777" w:rsidR="007226F8" w:rsidRPr="00CC5D19" w:rsidRDefault="007226F8" w:rsidP="007226F8">
      <w:pPr>
        <w:numPr>
          <w:ilvl w:val="0"/>
          <w:numId w:val="246"/>
        </w:numPr>
        <w:jc w:val="both"/>
        <w:rPr>
          <w:sz w:val="22"/>
          <w:szCs w:val="22"/>
          <w:lang w:val="en-GB"/>
        </w:rPr>
      </w:pPr>
      <w:r w:rsidRPr="00CC5D19">
        <w:rPr>
          <w:sz w:val="22"/>
          <w:szCs w:val="22"/>
          <w:lang w:val="en-GB"/>
        </w:rPr>
        <w:t xml:space="preserve">Conduct a </w:t>
      </w:r>
      <w:r w:rsidRPr="00CC5D19">
        <w:rPr>
          <w:rFonts w:eastAsia="AppleGothic"/>
          <w:b/>
          <w:bCs/>
          <w:sz w:val="22"/>
          <w:szCs w:val="22"/>
          <w:lang w:val="en-GB"/>
        </w:rPr>
        <w:t>cost-effectiveness review</w:t>
      </w:r>
      <w:r w:rsidRPr="00CC5D19">
        <w:rPr>
          <w:sz w:val="22"/>
          <w:szCs w:val="22"/>
          <w:lang w:val="en-GB"/>
        </w:rPr>
        <w:t xml:space="preserve"> to evaluate procurement efficiency and realign spending towards high-impact activities.</w:t>
      </w:r>
    </w:p>
    <w:p w14:paraId="5AE55BA4" w14:textId="19049209" w:rsidR="007226F8" w:rsidRPr="007A5C5F" w:rsidRDefault="007226F8" w:rsidP="007226F8">
      <w:pPr>
        <w:numPr>
          <w:ilvl w:val="0"/>
          <w:numId w:val="246"/>
        </w:numPr>
        <w:jc w:val="both"/>
        <w:rPr>
          <w:sz w:val="22"/>
          <w:szCs w:val="22"/>
          <w:lang w:val="en-GB"/>
        </w:rPr>
      </w:pPr>
      <w:r w:rsidRPr="00CC5D19">
        <w:rPr>
          <w:sz w:val="22"/>
          <w:szCs w:val="22"/>
          <w:lang w:val="en-GB"/>
        </w:rPr>
        <w:t xml:space="preserve">Pre-plan work plan approvals for 2025 in Q4 2024 to </w:t>
      </w:r>
      <w:r w:rsidRPr="00CC5D19">
        <w:rPr>
          <w:rFonts w:eastAsia="AppleGothic"/>
          <w:b/>
          <w:bCs/>
          <w:sz w:val="22"/>
          <w:szCs w:val="22"/>
          <w:lang w:val="en-GB"/>
        </w:rPr>
        <w:t>avoid disbursement delays in the next cycle</w:t>
      </w:r>
      <w:r w:rsidRPr="00CC5D19">
        <w:rPr>
          <w:sz w:val="22"/>
          <w:szCs w:val="22"/>
          <w:lang w:val="en-GB"/>
        </w:rPr>
        <w:t>.</w:t>
      </w:r>
    </w:p>
    <w:p w14:paraId="2BF978E6" w14:textId="27E6A932" w:rsidR="007226F8" w:rsidRDefault="007226F8" w:rsidP="00D24919">
      <w:pPr>
        <w:pStyle w:val="Heading3"/>
        <w:jc w:val="center"/>
        <w:rPr>
          <w:rFonts w:ascii="Times New Roman" w:hAnsi="Times New Roman" w:cs="Times New Roman"/>
          <w:lang w:val="en-GB"/>
        </w:rPr>
      </w:pPr>
      <w:r w:rsidRPr="007A5C5F">
        <w:rPr>
          <w:rFonts w:ascii="Times New Roman" w:hAnsi="Times New Roman" w:cs="Times New Roman"/>
          <w:lang w:val="en-GB"/>
        </w:rPr>
        <w:lastRenderedPageBreak/>
        <w:t xml:space="preserve">RECOMMENDATION 3 – </w:t>
      </w:r>
      <w:r w:rsidRPr="00CC5D19">
        <w:rPr>
          <w:rFonts w:ascii="Times New Roman" w:hAnsi="Times New Roman" w:cs="Times New Roman"/>
          <w:lang w:val="en-GB"/>
        </w:rPr>
        <w:t xml:space="preserve">Mitigate the Impact of Canceled Activities on National Partners (Finding </w:t>
      </w:r>
      <w:r w:rsidRPr="007A5C5F">
        <w:rPr>
          <w:rFonts w:ascii="Times New Roman" w:hAnsi="Times New Roman" w:cs="Times New Roman"/>
          <w:lang w:val="en-GB"/>
        </w:rPr>
        <w:t>3,</w:t>
      </w:r>
      <w:r w:rsidRPr="00CC5D19">
        <w:rPr>
          <w:rFonts w:ascii="Times New Roman" w:hAnsi="Times New Roman" w:cs="Times New Roman"/>
          <w:lang w:val="en-GB"/>
        </w:rPr>
        <w:t>11)</w:t>
      </w:r>
    </w:p>
    <w:p w14:paraId="68D35796" w14:textId="07C64501" w:rsidR="006D3B28" w:rsidRPr="006D3B28" w:rsidRDefault="006D3B28" w:rsidP="006D3B28">
      <w:pPr>
        <w:rPr>
          <w:i/>
          <w:iCs/>
          <w:sz w:val="22"/>
          <w:szCs w:val="22"/>
          <w:lang w:val="en-GB"/>
        </w:rPr>
      </w:pPr>
      <w:r w:rsidRPr="006D3B28">
        <w:rPr>
          <w:i/>
          <w:iCs/>
          <w:sz w:val="22"/>
          <w:szCs w:val="22"/>
          <w:lang w:val="en-GB"/>
        </w:rPr>
        <w:t>Responsible Entity: JURE Project Management Office</w:t>
      </w:r>
      <w:r w:rsidRPr="006D3B28">
        <w:rPr>
          <w:sz w:val="22"/>
          <w:szCs w:val="22"/>
          <w:lang w:val="en-GB"/>
        </w:rPr>
        <w:br/>
      </w:r>
      <w:r w:rsidRPr="006D3B28">
        <w:rPr>
          <w:i/>
          <w:iCs/>
          <w:sz w:val="22"/>
          <w:szCs w:val="22"/>
          <w:lang w:val="en-GB"/>
        </w:rPr>
        <w:t>Priority Level: Medium</w:t>
      </w:r>
      <w:r w:rsidRPr="006D3B28">
        <w:rPr>
          <w:sz w:val="22"/>
          <w:szCs w:val="22"/>
          <w:lang w:val="en-GB"/>
        </w:rPr>
        <w:br/>
      </w:r>
      <w:r w:rsidRPr="006D3B28">
        <w:rPr>
          <w:i/>
          <w:iCs/>
          <w:sz w:val="22"/>
          <w:szCs w:val="22"/>
          <w:lang w:val="en-GB"/>
        </w:rPr>
        <w:t>Timeframe: Next 6 Months</w:t>
      </w:r>
    </w:p>
    <w:p w14:paraId="033123A5" w14:textId="7D3C5CCC" w:rsidR="00325CFF" w:rsidRPr="007A5C5F" w:rsidRDefault="00325CFF" w:rsidP="00325CFF">
      <w:pPr>
        <w:numPr>
          <w:ilvl w:val="0"/>
          <w:numId w:val="128"/>
        </w:numPr>
        <w:rPr>
          <w:lang w:val="en-GB"/>
        </w:rPr>
      </w:pPr>
      <w:r w:rsidRPr="00275378">
        <w:rPr>
          <w:b/>
          <w:bCs/>
          <w:lang w:val="en-GB"/>
        </w:rPr>
        <w:t>Reinstate Critical Activities or Develop Alternative Solutions:</w:t>
      </w:r>
      <w:r w:rsidRPr="00275378">
        <w:rPr>
          <w:lang w:val="en-GB"/>
        </w:rPr>
        <w:br/>
      </w:r>
      <w:r w:rsidRPr="00275378">
        <w:rPr>
          <w:sz w:val="22"/>
          <w:szCs w:val="22"/>
          <w:lang w:val="en-GB"/>
        </w:rPr>
        <w:t xml:space="preserve">Efforts should be made to either reinstate the </w:t>
      </w:r>
      <w:r w:rsidR="007A5C5F" w:rsidRPr="00275378">
        <w:rPr>
          <w:sz w:val="22"/>
          <w:szCs w:val="22"/>
          <w:lang w:val="en-GB"/>
        </w:rPr>
        <w:t>cancelled</w:t>
      </w:r>
      <w:r w:rsidRPr="00275378">
        <w:rPr>
          <w:sz w:val="22"/>
          <w:szCs w:val="22"/>
          <w:lang w:val="en-GB"/>
        </w:rPr>
        <w:t xml:space="preserve"> activities or identify alternative mechanisms to achieve similar objectives. This could include allocating additional resources, fostering partnerships, or prioritizing high-impact components such as the development of training programs and databases critical for institutional capacity-building.</w:t>
      </w:r>
    </w:p>
    <w:p w14:paraId="0F3125FE" w14:textId="77777777" w:rsidR="00325CFF" w:rsidRPr="007A5C5F" w:rsidRDefault="00325CFF" w:rsidP="00325CFF">
      <w:pPr>
        <w:rPr>
          <w:lang w:val="en-GB"/>
        </w:rPr>
      </w:pPr>
    </w:p>
    <w:p w14:paraId="1C9FCCA0" w14:textId="53610A27" w:rsidR="007226F8" w:rsidRPr="00CC5D19" w:rsidRDefault="007226F8" w:rsidP="007226F8">
      <w:pPr>
        <w:numPr>
          <w:ilvl w:val="0"/>
          <w:numId w:val="207"/>
        </w:numPr>
        <w:jc w:val="both"/>
        <w:rPr>
          <w:sz w:val="22"/>
          <w:szCs w:val="22"/>
          <w:lang w:val="en-GB"/>
        </w:rPr>
      </w:pPr>
      <w:r w:rsidRPr="00CC5D19">
        <w:rPr>
          <w:sz w:val="22"/>
          <w:szCs w:val="22"/>
          <w:lang w:val="en-GB"/>
        </w:rPr>
        <w:t xml:space="preserve">Reassess the feasibility of reinstating critical </w:t>
      </w:r>
      <w:r w:rsidR="007A5C5F" w:rsidRPr="00CC5D19">
        <w:rPr>
          <w:sz w:val="22"/>
          <w:szCs w:val="22"/>
          <w:lang w:val="en-GB"/>
        </w:rPr>
        <w:t>cancelled</w:t>
      </w:r>
      <w:r w:rsidRPr="00CC5D19">
        <w:rPr>
          <w:sz w:val="22"/>
          <w:szCs w:val="22"/>
          <w:lang w:val="en-GB"/>
        </w:rPr>
        <w:t xml:space="preserve"> activities, such as the higher diploma on human rights-based prison administration, the prison code of ethics, and the fundamental rights judgments database.</w:t>
      </w:r>
    </w:p>
    <w:p w14:paraId="3979CB06" w14:textId="77777777" w:rsidR="007226F8" w:rsidRPr="00CC5D19" w:rsidRDefault="007226F8" w:rsidP="007226F8">
      <w:pPr>
        <w:numPr>
          <w:ilvl w:val="0"/>
          <w:numId w:val="207"/>
        </w:numPr>
        <w:jc w:val="both"/>
        <w:rPr>
          <w:sz w:val="22"/>
          <w:szCs w:val="22"/>
          <w:lang w:val="en-GB"/>
        </w:rPr>
      </w:pPr>
      <w:r w:rsidRPr="00CC5D19">
        <w:rPr>
          <w:sz w:val="22"/>
          <w:szCs w:val="22"/>
          <w:lang w:val="en-GB"/>
        </w:rPr>
        <w:t>Identify alternative funding streams through national budget allocations or partnerships with other international donors to sustain essential initiatives.</w:t>
      </w:r>
    </w:p>
    <w:p w14:paraId="42983E64" w14:textId="094CF411" w:rsidR="007226F8" w:rsidRPr="007A5C5F" w:rsidRDefault="007226F8" w:rsidP="007226F8">
      <w:pPr>
        <w:numPr>
          <w:ilvl w:val="0"/>
          <w:numId w:val="207"/>
        </w:numPr>
        <w:jc w:val="both"/>
        <w:rPr>
          <w:sz w:val="22"/>
          <w:szCs w:val="22"/>
          <w:lang w:val="en-GB"/>
        </w:rPr>
      </w:pPr>
      <w:r w:rsidRPr="00CC5D19">
        <w:rPr>
          <w:sz w:val="22"/>
          <w:szCs w:val="22"/>
          <w:lang w:val="en-GB"/>
        </w:rPr>
        <w:t>Provide technical assistance to partners, such as the Human Rights Commission and Government Analyst’s Department, to help them absorb and continue key activities independently.</w:t>
      </w:r>
    </w:p>
    <w:p w14:paraId="5B8930D6" w14:textId="6B6D30A4" w:rsidR="00254A44" w:rsidRPr="00D96318" w:rsidRDefault="00254A44" w:rsidP="00254A44">
      <w:pPr>
        <w:numPr>
          <w:ilvl w:val="0"/>
          <w:numId w:val="207"/>
        </w:numPr>
        <w:jc w:val="both"/>
        <w:rPr>
          <w:sz w:val="22"/>
          <w:szCs w:val="22"/>
          <w:lang w:val="en-GB"/>
        </w:rPr>
      </w:pPr>
      <w:r w:rsidRPr="00D96318">
        <w:rPr>
          <w:sz w:val="22"/>
          <w:szCs w:val="22"/>
          <w:lang w:val="en-GB"/>
        </w:rPr>
        <w:t>Restore and expand environmental justice initiatives, building on the successes of JURE’s prior interventions and integrating legal frameworks to address climate-related challenges.</w:t>
      </w:r>
    </w:p>
    <w:p w14:paraId="6EC5D903" w14:textId="0FDD9A13" w:rsidR="003724A8" w:rsidRPr="007A5C5F" w:rsidRDefault="00254A44" w:rsidP="001F5D20">
      <w:pPr>
        <w:numPr>
          <w:ilvl w:val="0"/>
          <w:numId w:val="207"/>
        </w:numPr>
        <w:jc w:val="both"/>
        <w:rPr>
          <w:sz w:val="22"/>
          <w:szCs w:val="22"/>
          <w:lang w:val="en-GB"/>
        </w:rPr>
      </w:pPr>
      <w:r w:rsidRPr="00D96318">
        <w:rPr>
          <w:sz w:val="22"/>
          <w:szCs w:val="22"/>
          <w:lang w:val="en-GB"/>
        </w:rPr>
        <w:t xml:space="preserve">Strengthen institutional and legal capacities to enforce environmental laws and provide legal redress for affected </w:t>
      </w:r>
      <w:r w:rsidR="009C2EF1" w:rsidRPr="007A5C5F">
        <w:rPr>
          <w:sz w:val="22"/>
          <w:szCs w:val="22"/>
          <w:lang w:val="en-GB"/>
        </w:rPr>
        <w:t>communities.</w:t>
      </w:r>
    </w:p>
    <w:p w14:paraId="0FD38C4B" w14:textId="655BC932" w:rsidR="003724A8" w:rsidRPr="007A5C5F" w:rsidRDefault="003724A8" w:rsidP="00D24919">
      <w:pPr>
        <w:pStyle w:val="Heading3"/>
        <w:jc w:val="center"/>
        <w:rPr>
          <w:rFonts w:ascii="Times New Roman" w:hAnsi="Times New Roman" w:cs="Times New Roman"/>
          <w:lang w:val="en-GB"/>
        </w:rPr>
      </w:pPr>
      <w:r w:rsidRPr="007A5C5F">
        <w:rPr>
          <w:rFonts w:ascii="Times New Roman" w:hAnsi="Times New Roman" w:cs="Times New Roman"/>
          <w:lang w:val="en-GB"/>
        </w:rPr>
        <w:t xml:space="preserve">RECOMMENDATION 4 – </w:t>
      </w:r>
      <w:r w:rsidR="00CA331C">
        <w:rPr>
          <w:rFonts w:ascii="Times New Roman" w:hAnsi="Times New Roman" w:cs="Times New Roman"/>
          <w:lang w:val="en-GB"/>
        </w:rPr>
        <w:t xml:space="preserve">Internal </w:t>
      </w:r>
      <w:r w:rsidR="00C22642" w:rsidRPr="007A5C5F">
        <w:rPr>
          <w:rFonts w:ascii="Times New Roman" w:hAnsi="Times New Roman" w:cs="Times New Roman"/>
          <w:lang w:val="en-GB"/>
        </w:rPr>
        <w:t xml:space="preserve">Coherence: </w:t>
      </w:r>
      <w:r w:rsidR="007226F8" w:rsidRPr="00A30CE2">
        <w:rPr>
          <w:rFonts w:ascii="Times New Roman" w:hAnsi="Times New Roman" w:cs="Times New Roman"/>
          <w:lang w:val="en-GB"/>
        </w:rPr>
        <w:t>Adopt an</w:t>
      </w:r>
      <w:r w:rsidR="000F687F">
        <w:rPr>
          <w:rFonts w:ascii="Times New Roman" w:hAnsi="Times New Roman" w:cs="Times New Roman"/>
          <w:lang w:val="en-GB"/>
        </w:rPr>
        <w:t xml:space="preserve">      </w:t>
      </w:r>
      <w:r w:rsidR="007226F8" w:rsidRPr="00A30CE2">
        <w:rPr>
          <w:rFonts w:ascii="Times New Roman" w:hAnsi="Times New Roman" w:cs="Times New Roman"/>
          <w:lang w:val="en-GB"/>
        </w:rPr>
        <w:t>Integrated Approach to Programme Implementation</w:t>
      </w:r>
      <w:r w:rsidR="007226F8" w:rsidRPr="007A5C5F">
        <w:rPr>
          <w:rFonts w:ascii="Times New Roman" w:hAnsi="Times New Roman" w:cs="Times New Roman"/>
          <w:lang w:val="en-GB"/>
        </w:rPr>
        <w:t xml:space="preserve"> </w:t>
      </w:r>
      <w:r w:rsidR="00254A44" w:rsidRPr="00CC5D19">
        <w:rPr>
          <w:rFonts w:ascii="Times New Roman" w:hAnsi="Times New Roman" w:cs="Times New Roman"/>
          <w:lang w:val="en-GB"/>
        </w:rPr>
        <w:t xml:space="preserve">(Finding </w:t>
      </w:r>
      <w:r w:rsidR="00CA331C">
        <w:rPr>
          <w:rFonts w:ascii="Times New Roman" w:hAnsi="Times New Roman" w:cs="Times New Roman"/>
          <w:lang w:val="en-GB"/>
        </w:rPr>
        <w:t>4</w:t>
      </w:r>
      <w:r w:rsidR="00254A44" w:rsidRPr="00CC5D19">
        <w:rPr>
          <w:rFonts w:ascii="Times New Roman" w:hAnsi="Times New Roman" w:cs="Times New Roman"/>
          <w:lang w:val="en-GB"/>
        </w:rPr>
        <w:t>)</w:t>
      </w:r>
    </w:p>
    <w:p w14:paraId="08EDD25C" w14:textId="0D9F2F8B" w:rsidR="00325CFF" w:rsidRPr="007A5C5F" w:rsidRDefault="00325CFF" w:rsidP="00325CFF">
      <w:pPr>
        <w:rPr>
          <w:lang w:val="en-GB"/>
        </w:rPr>
      </w:pPr>
      <w:r w:rsidRPr="007A5C5F">
        <w:rPr>
          <w:i/>
          <w:iCs/>
          <w:lang w:val="en-GB"/>
        </w:rPr>
        <w:t>Responsible Entity: JURE Program Coordination Unit</w:t>
      </w:r>
      <w:r w:rsidRPr="007A5C5F">
        <w:rPr>
          <w:lang w:val="en-GB"/>
        </w:rPr>
        <w:br/>
      </w:r>
      <w:r w:rsidRPr="007A5C5F">
        <w:rPr>
          <w:i/>
          <w:iCs/>
          <w:lang w:val="en-GB"/>
        </w:rPr>
        <w:t>Priority Level: High</w:t>
      </w:r>
      <w:r w:rsidRPr="007A5C5F">
        <w:rPr>
          <w:lang w:val="en-GB"/>
        </w:rPr>
        <w:br/>
      </w:r>
      <w:r w:rsidRPr="007A5C5F">
        <w:rPr>
          <w:i/>
          <w:iCs/>
          <w:lang w:val="en-GB"/>
        </w:rPr>
        <w:t>Timeframe: Within 1 Year</w:t>
      </w:r>
    </w:p>
    <w:p w14:paraId="5B353707" w14:textId="0F295EB6" w:rsidR="00325CFF" w:rsidRPr="007A5C5F" w:rsidRDefault="006F1D10" w:rsidP="00325CFF">
      <w:pPr>
        <w:pStyle w:val="ListParagraph"/>
        <w:numPr>
          <w:ilvl w:val="0"/>
          <w:numId w:val="249"/>
        </w:numPr>
        <w:rPr>
          <w:b/>
          <w:bCs/>
          <w:lang w:val="en-GB"/>
        </w:rPr>
      </w:pPr>
      <w:r w:rsidRPr="007A5C5F">
        <w:rPr>
          <w:b/>
          <w:bCs/>
          <w:lang w:val="en-GB"/>
        </w:rPr>
        <w:t xml:space="preserve">Building on UNDP’s integrated approach, the JURE Programme should </w:t>
      </w:r>
      <w:r w:rsidR="007A5C5F" w:rsidRPr="007A5C5F">
        <w:rPr>
          <w:b/>
          <w:bCs/>
          <w:lang w:val="en-GB"/>
        </w:rPr>
        <w:t>consider</w:t>
      </w:r>
      <w:r w:rsidR="002D243C" w:rsidRPr="007A5C5F">
        <w:rPr>
          <w:b/>
          <w:bCs/>
          <w:lang w:val="en-GB"/>
        </w:rPr>
        <w:t xml:space="preserve"> further </w:t>
      </w:r>
      <w:r w:rsidRPr="007A5C5F">
        <w:rPr>
          <w:b/>
          <w:bCs/>
          <w:lang w:val="en-GB"/>
        </w:rPr>
        <w:t>strengthen</w:t>
      </w:r>
      <w:r w:rsidR="002D243C" w:rsidRPr="007A5C5F">
        <w:rPr>
          <w:b/>
          <w:bCs/>
          <w:lang w:val="en-GB"/>
        </w:rPr>
        <w:t>ing</w:t>
      </w:r>
      <w:r w:rsidRPr="007A5C5F">
        <w:rPr>
          <w:b/>
          <w:bCs/>
          <w:lang w:val="en-GB"/>
        </w:rPr>
        <w:t xml:space="preserve"> internal coherence by systematically linking its interventions across thematic areas. </w:t>
      </w:r>
    </w:p>
    <w:p w14:paraId="5B7F5C27" w14:textId="0786D8BB" w:rsidR="006F1D10" w:rsidRPr="00A30CE2" w:rsidRDefault="006F1D10" w:rsidP="00597CD7">
      <w:pPr>
        <w:rPr>
          <w:sz w:val="22"/>
          <w:szCs w:val="22"/>
          <w:lang w:val="en-GB"/>
        </w:rPr>
      </w:pPr>
      <w:r w:rsidRPr="00A30CE2">
        <w:rPr>
          <w:sz w:val="22"/>
          <w:szCs w:val="22"/>
          <w:lang w:val="en-GB"/>
        </w:rPr>
        <w:t>This includes aligning its economic empowerment initiatives with UNDP’s broader economic resilience programmes and embedding environmental justice efforts within UNDP’s sustainability agenda. Establishing structured collaboration mechanisms within the SDG 16 portfolio would ensure that different projects contribute jointly to achieving CPD outcomes.</w:t>
      </w:r>
    </w:p>
    <w:p w14:paraId="3FFF2460" w14:textId="2EC36BCA" w:rsidR="006F1D10" w:rsidRPr="00A30CE2" w:rsidRDefault="006F1D10" w:rsidP="00597CD7">
      <w:pPr>
        <w:rPr>
          <w:sz w:val="22"/>
          <w:szCs w:val="22"/>
          <w:lang w:val="en-GB"/>
        </w:rPr>
      </w:pPr>
      <w:r w:rsidRPr="00A30CE2">
        <w:rPr>
          <w:b/>
          <w:bCs/>
          <w:lang w:val="en-GB"/>
        </w:rPr>
        <w:t>Strengthen Coordination with Other Donor-Funded Initiatives</w:t>
      </w:r>
      <w:r w:rsidRPr="00A30CE2">
        <w:rPr>
          <w:sz w:val="22"/>
          <w:szCs w:val="22"/>
          <w:lang w:val="en-GB"/>
        </w:rPr>
        <w:br/>
        <w:t xml:space="preserve">Given the </w:t>
      </w:r>
      <w:r w:rsidR="00CA331C">
        <w:rPr>
          <w:sz w:val="22"/>
          <w:szCs w:val="22"/>
          <w:lang w:val="en-GB"/>
        </w:rPr>
        <w:t xml:space="preserve">crowded </w:t>
      </w:r>
      <w:r w:rsidRPr="00A30CE2">
        <w:rPr>
          <w:sz w:val="22"/>
          <w:szCs w:val="22"/>
          <w:lang w:val="en-GB"/>
        </w:rPr>
        <w:t>donor landscape, JURE should actively engage in structured donor coordination mechanisms to prevent duplication and maximize synergies with other internationally funded justice sector initiatives. Establishing regular dialogue platforms with USAID, the EU, KOICA, JICA, and UNODC will facilitate better alignment in areas such as forensic capacity building, virtual trials, and anti-corruption measures.</w:t>
      </w:r>
    </w:p>
    <w:p w14:paraId="3A235968" w14:textId="77777777" w:rsidR="006F1D10" w:rsidRPr="00A30CE2" w:rsidRDefault="006F1D10" w:rsidP="00597CD7">
      <w:pPr>
        <w:rPr>
          <w:sz w:val="22"/>
          <w:szCs w:val="22"/>
          <w:lang w:val="en-GB"/>
        </w:rPr>
      </w:pPr>
      <w:r w:rsidRPr="00A30CE2">
        <w:rPr>
          <w:rFonts w:eastAsia="AppleGothic"/>
          <w:b/>
          <w:bCs/>
          <w:sz w:val="22"/>
          <w:szCs w:val="22"/>
          <w:lang w:val="en-GB"/>
        </w:rPr>
        <w:t>Enhance Strategic Partnerships with Civil Society Organizations (CSOs)</w:t>
      </w:r>
      <w:r w:rsidRPr="00A30CE2">
        <w:rPr>
          <w:sz w:val="22"/>
          <w:szCs w:val="22"/>
          <w:lang w:val="en-GB"/>
        </w:rPr>
        <w:br/>
        <w:t>To improve outreach and sustainability, JURE should strengthen partnerships with CSOs, ensuring that interventions are more inclusive and responsive to the needs of vulnerable populations. This will help bridge gaps in service delivery and enhance programme effectiveness by leveraging grassroots networks for legal aid, victim support, and justice sector reforms.</w:t>
      </w:r>
    </w:p>
    <w:p w14:paraId="7929BF26" w14:textId="77777777" w:rsidR="006F1D10" w:rsidRPr="00A30CE2" w:rsidRDefault="006F1D10" w:rsidP="00597CD7">
      <w:pPr>
        <w:rPr>
          <w:sz w:val="22"/>
          <w:szCs w:val="22"/>
          <w:lang w:val="en-GB"/>
        </w:rPr>
      </w:pPr>
      <w:r w:rsidRPr="00A30CE2">
        <w:rPr>
          <w:rFonts w:eastAsia="AppleGothic"/>
          <w:b/>
          <w:bCs/>
          <w:sz w:val="22"/>
          <w:szCs w:val="22"/>
          <w:lang w:val="en-GB"/>
        </w:rPr>
        <w:t>Develop a Coherent Monitoring and Evaluation Framework</w:t>
      </w:r>
      <w:r w:rsidRPr="00A30CE2">
        <w:rPr>
          <w:sz w:val="22"/>
          <w:szCs w:val="22"/>
          <w:lang w:val="en-GB"/>
        </w:rPr>
        <w:br/>
        <w:t>A structured M&amp;E framework should be established to track synergies between JURE and other projects within the SDG 16 portfolio. This framework should assess how well interventions complement each other, ensuring that programme outputs collectively contribute to broader governance and justice reforms.</w:t>
      </w:r>
    </w:p>
    <w:p w14:paraId="519702E0" w14:textId="77777777" w:rsidR="006F1D10" w:rsidRPr="00A30CE2" w:rsidRDefault="006F1D10" w:rsidP="00597CD7">
      <w:pPr>
        <w:rPr>
          <w:sz w:val="22"/>
          <w:szCs w:val="22"/>
          <w:lang w:val="en-GB"/>
        </w:rPr>
      </w:pPr>
      <w:r w:rsidRPr="00A30CE2">
        <w:rPr>
          <w:rFonts w:eastAsia="AppleGothic"/>
          <w:b/>
          <w:bCs/>
          <w:sz w:val="22"/>
          <w:szCs w:val="22"/>
          <w:lang w:val="en-GB"/>
        </w:rPr>
        <w:t>Institutionalize Cross-Sectoral Linkages</w:t>
      </w:r>
      <w:r w:rsidRPr="00A30CE2">
        <w:rPr>
          <w:sz w:val="22"/>
          <w:szCs w:val="22"/>
          <w:lang w:val="en-GB"/>
        </w:rPr>
        <w:br/>
        <w:t xml:space="preserve">JURE should formalize collaboration with UNDP’s other programme areas, particularly in economic </w:t>
      </w:r>
      <w:r w:rsidRPr="00A30CE2">
        <w:rPr>
          <w:sz w:val="22"/>
          <w:szCs w:val="22"/>
          <w:lang w:val="en-GB"/>
        </w:rPr>
        <w:lastRenderedPageBreak/>
        <w:t>empowerment and environmental justice. For example, initiatives supporting small businesses for mothers could be integrated into UNDP’s economic resilience programmes to provide sustained support beyond state assistance. Similarly, environmental justice interventions should be embedded in national sustainability policies through partnerships with environmental agencies and academic institutions.</w:t>
      </w:r>
    </w:p>
    <w:p w14:paraId="6DE2F661" w14:textId="6FACD2DD" w:rsidR="003724A8" w:rsidRPr="007A5C5F" w:rsidRDefault="006F1D10" w:rsidP="00597CD7">
      <w:pPr>
        <w:rPr>
          <w:sz w:val="22"/>
          <w:szCs w:val="22"/>
          <w:lang w:val="en-GB"/>
        </w:rPr>
      </w:pPr>
      <w:r w:rsidRPr="00A30CE2">
        <w:rPr>
          <w:rFonts w:eastAsia="AppleGothic"/>
          <w:b/>
          <w:bCs/>
          <w:sz w:val="22"/>
          <w:szCs w:val="22"/>
          <w:lang w:val="en-GB"/>
        </w:rPr>
        <w:t>Enhance Knowledge Sharing and Best Practice Exchange</w:t>
      </w:r>
      <w:r w:rsidRPr="00A30CE2">
        <w:rPr>
          <w:sz w:val="22"/>
          <w:szCs w:val="22"/>
          <w:lang w:val="en-GB"/>
        </w:rPr>
        <w:br/>
        <w:t>Facilitating regional and international knowledge-sharing platforms will help integrate global best practices into JURE’s implementation. This could be done through study visits, joint training, and experience exchange forums with other countries implementing similar justice sector reforms.</w:t>
      </w:r>
    </w:p>
    <w:p w14:paraId="676940CA" w14:textId="0D426759" w:rsidR="003724A8" w:rsidRPr="007A5C5F" w:rsidRDefault="003724A8" w:rsidP="00D24919">
      <w:pPr>
        <w:pStyle w:val="Heading3"/>
        <w:jc w:val="center"/>
        <w:rPr>
          <w:rFonts w:ascii="Times New Roman" w:hAnsi="Times New Roman" w:cs="Times New Roman"/>
          <w:lang w:val="en-GB"/>
        </w:rPr>
      </w:pPr>
      <w:r w:rsidRPr="007A5C5F">
        <w:rPr>
          <w:rFonts w:ascii="Times New Roman" w:hAnsi="Times New Roman" w:cs="Times New Roman"/>
          <w:lang w:val="en-GB"/>
        </w:rPr>
        <w:t xml:space="preserve">RECOMMENDATION </w:t>
      </w:r>
      <w:r w:rsidR="000F687F">
        <w:rPr>
          <w:rFonts w:ascii="Times New Roman" w:hAnsi="Times New Roman" w:cs="Times New Roman"/>
          <w:lang w:val="en-GB"/>
        </w:rPr>
        <w:t>5</w:t>
      </w:r>
      <w:r w:rsidRPr="007A5C5F">
        <w:rPr>
          <w:rFonts w:ascii="Times New Roman" w:hAnsi="Times New Roman" w:cs="Times New Roman"/>
          <w:lang w:val="en-GB"/>
        </w:rPr>
        <w:t xml:space="preserve"> – </w:t>
      </w:r>
      <w:r w:rsidR="00CA331C">
        <w:rPr>
          <w:rFonts w:ascii="Times New Roman" w:hAnsi="Times New Roman" w:cs="Times New Roman"/>
          <w:lang w:val="en-GB"/>
        </w:rPr>
        <w:t xml:space="preserve">External </w:t>
      </w:r>
      <w:r w:rsidR="006F1D10" w:rsidRPr="007A5C5F">
        <w:rPr>
          <w:rFonts w:ascii="Times New Roman" w:hAnsi="Times New Roman" w:cs="Times New Roman"/>
          <w:lang w:val="en-GB"/>
        </w:rPr>
        <w:t>Coherence</w:t>
      </w:r>
      <w:r w:rsidR="00611FC4" w:rsidRPr="007A5C5F">
        <w:rPr>
          <w:rFonts w:ascii="Times New Roman" w:hAnsi="Times New Roman" w:cs="Times New Roman"/>
          <w:lang w:val="en-GB"/>
        </w:rPr>
        <w:t xml:space="preserve">: </w:t>
      </w:r>
      <w:r w:rsidR="00611FC4" w:rsidRPr="00BE305F">
        <w:rPr>
          <w:rFonts w:ascii="Times New Roman" w:hAnsi="Times New Roman" w:cs="Times New Roman"/>
          <w:lang w:val="en-GB"/>
        </w:rPr>
        <w:t>Improve Coordination, Accountability, and Institutional Commitment (</w:t>
      </w:r>
      <w:r w:rsidR="007226F8" w:rsidRPr="00CC5D19">
        <w:rPr>
          <w:rFonts w:ascii="Times New Roman" w:hAnsi="Times New Roman" w:cs="Times New Roman"/>
          <w:lang w:val="en-GB"/>
        </w:rPr>
        <w:t xml:space="preserve">Finding </w:t>
      </w:r>
      <w:r w:rsidR="00CA331C">
        <w:rPr>
          <w:rFonts w:ascii="Times New Roman" w:hAnsi="Times New Roman" w:cs="Times New Roman"/>
          <w:lang w:val="en-GB"/>
        </w:rPr>
        <w:t>4</w:t>
      </w:r>
      <w:r w:rsidR="00611FC4" w:rsidRPr="00BE305F">
        <w:rPr>
          <w:rFonts w:ascii="Times New Roman" w:hAnsi="Times New Roman" w:cs="Times New Roman"/>
          <w:lang w:val="en-GB"/>
        </w:rPr>
        <w:t>)</w:t>
      </w:r>
    </w:p>
    <w:p w14:paraId="56A99B28" w14:textId="523C6474" w:rsidR="006C1B04" w:rsidRPr="007A5C5F" w:rsidRDefault="006C1B04" w:rsidP="006C1B04">
      <w:pPr>
        <w:rPr>
          <w:lang w:val="en-GB"/>
        </w:rPr>
      </w:pPr>
      <w:r w:rsidRPr="007A5C5F">
        <w:rPr>
          <w:i/>
          <w:iCs/>
          <w:lang w:val="en-GB"/>
        </w:rPr>
        <w:t>Responsible Entity: Ministry of Justice and JURE Implementing Team and other relevant donors</w:t>
      </w:r>
      <w:r w:rsidRPr="007A5C5F">
        <w:rPr>
          <w:lang w:val="en-GB"/>
        </w:rPr>
        <w:br/>
      </w:r>
      <w:r w:rsidRPr="007A5C5F">
        <w:rPr>
          <w:i/>
          <w:iCs/>
          <w:lang w:val="en-GB"/>
        </w:rPr>
        <w:t>Priority Level: High</w:t>
      </w:r>
      <w:r w:rsidRPr="007A5C5F">
        <w:rPr>
          <w:lang w:val="en-GB"/>
        </w:rPr>
        <w:br/>
      </w:r>
      <w:r w:rsidRPr="007A5C5F">
        <w:rPr>
          <w:i/>
          <w:iCs/>
          <w:lang w:val="en-GB"/>
        </w:rPr>
        <w:t>Timeframe: Long-term (Throughout project duration and beyond)</w:t>
      </w:r>
    </w:p>
    <w:p w14:paraId="1DD3C254" w14:textId="77777777" w:rsidR="00611FC4" w:rsidRPr="007A5C5F" w:rsidRDefault="00611FC4" w:rsidP="00611FC4">
      <w:pPr>
        <w:rPr>
          <w:lang w:val="en-GB"/>
        </w:rPr>
      </w:pPr>
    </w:p>
    <w:p w14:paraId="67A7FA26" w14:textId="74BFAA88" w:rsidR="006F1D10" w:rsidRPr="00CC5D19" w:rsidRDefault="006F1D10" w:rsidP="006F1D10">
      <w:pPr>
        <w:numPr>
          <w:ilvl w:val="0"/>
          <w:numId w:val="208"/>
        </w:numPr>
        <w:jc w:val="both"/>
        <w:rPr>
          <w:sz w:val="22"/>
          <w:szCs w:val="22"/>
          <w:lang w:val="en-GB"/>
        </w:rPr>
      </w:pPr>
      <w:r w:rsidRPr="00CC5D19">
        <w:rPr>
          <w:rFonts w:eastAsia="AppleGothic"/>
          <w:b/>
          <w:bCs/>
          <w:sz w:val="22"/>
          <w:szCs w:val="22"/>
          <w:lang w:val="en-GB"/>
        </w:rPr>
        <w:t>Strengthen Donor Coordination for Long-Term Impact</w:t>
      </w:r>
      <w:r w:rsidRPr="00CC5D19">
        <w:rPr>
          <w:sz w:val="22"/>
          <w:szCs w:val="22"/>
          <w:lang w:val="en-GB"/>
        </w:rPr>
        <w:t xml:space="preserve"> </w:t>
      </w:r>
    </w:p>
    <w:p w14:paraId="323475D9" w14:textId="77777777" w:rsidR="006F1D10" w:rsidRPr="00CC5D19" w:rsidRDefault="006F1D10" w:rsidP="006F1D10">
      <w:pPr>
        <w:numPr>
          <w:ilvl w:val="1"/>
          <w:numId w:val="242"/>
        </w:numPr>
        <w:jc w:val="both"/>
        <w:rPr>
          <w:sz w:val="22"/>
          <w:szCs w:val="22"/>
          <w:lang w:val="en-GB"/>
        </w:rPr>
      </w:pPr>
      <w:r w:rsidRPr="00CC5D19">
        <w:rPr>
          <w:sz w:val="22"/>
          <w:szCs w:val="22"/>
          <w:lang w:val="en-GB"/>
        </w:rPr>
        <w:t xml:space="preserve">Facilitate a </w:t>
      </w:r>
      <w:r w:rsidRPr="00CC5D19">
        <w:rPr>
          <w:rFonts w:eastAsia="AppleGothic"/>
          <w:b/>
          <w:bCs/>
          <w:sz w:val="22"/>
          <w:szCs w:val="22"/>
          <w:lang w:val="en-GB"/>
        </w:rPr>
        <w:t>justice sector donor coordination platform</w:t>
      </w:r>
      <w:r w:rsidRPr="00CC5D19">
        <w:rPr>
          <w:sz w:val="22"/>
          <w:szCs w:val="22"/>
          <w:lang w:val="en-GB"/>
        </w:rPr>
        <w:t xml:space="preserve"> to align UNDP, UNICEF, EU, USAID, KOICA, and JICA funding streams to support ongoing reforms.</w:t>
      </w:r>
    </w:p>
    <w:p w14:paraId="2199CAD8" w14:textId="77777777" w:rsidR="006F1D10" w:rsidRPr="00CC5D19" w:rsidRDefault="006F1D10" w:rsidP="006F1D10">
      <w:pPr>
        <w:numPr>
          <w:ilvl w:val="1"/>
          <w:numId w:val="242"/>
        </w:numPr>
        <w:jc w:val="both"/>
        <w:rPr>
          <w:sz w:val="22"/>
          <w:szCs w:val="22"/>
          <w:lang w:val="en-GB"/>
        </w:rPr>
      </w:pPr>
      <w:r w:rsidRPr="00CC5D19">
        <w:rPr>
          <w:sz w:val="22"/>
          <w:szCs w:val="22"/>
          <w:lang w:val="en-GB"/>
        </w:rPr>
        <w:t xml:space="preserve">Promote </w:t>
      </w:r>
      <w:r w:rsidRPr="00CC5D19">
        <w:rPr>
          <w:rFonts w:eastAsia="AppleGothic"/>
          <w:b/>
          <w:bCs/>
          <w:sz w:val="22"/>
          <w:szCs w:val="22"/>
          <w:lang w:val="en-GB"/>
        </w:rPr>
        <w:t>co-financing models</w:t>
      </w:r>
      <w:r w:rsidRPr="00CC5D19">
        <w:rPr>
          <w:sz w:val="22"/>
          <w:szCs w:val="22"/>
          <w:lang w:val="en-GB"/>
        </w:rPr>
        <w:t xml:space="preserve"> where national institutions gradually take over funding responsibilities for ongoing justice sector reforms.</w:t>
      </w:r>
    </w:p>
    <w:p w14:paraId="164E7920" w14:textId="7AFB2D6A" w:rsidR="006F1D10" w:rsidRPr="007A5C5F" w:rsidRDefault="006F1D10" w:rsidP="006F1D10">
      <w:pPr>
        <w:numPr>
          <w:ilvl w:val="1"/>
          <w:numId w:val="242"/>
        </w:numPr>
        <w:jc w:val="both"/>
        <w:rPr>
          <w:sz w:val="22"/>
          <w:szCs w:val="22"/>
          <w:lang w:val="en-GB"/>
        </w:rPr>
      </w:pPr>
      <w:r w:rsidRPr="00CC5D19">
        <w:rPr>
          <w:sz w:val="22"/>
          <w:szCs w:val="22"/>
          <w:lang w:val="en-GB"/>
        </w:rPr>
        <w:t xml:space="preserve">Engage private sector and legal associations to </w:t>
      </w:r>
      <w:r w:rsidRPr="00CC5D19">
        <w:rPr>
          <w:rFonts w:eastAsia="AppleGothic"/>
          <w:b/>
          <w:bCs/>
          <w:sz w:val="22"/>
          <w:szCs w:val="22"/>
          <w:lang w:val="en-GB"/>
        </w:rPr>
        <w:t>mobilize domestic resources</w:t>
      </w:r>
      <w:r w:rsidRPr="00CC5D19">
        <w:rPr>
          <w:sz w:val="22"/>
          <w:szCs w:val="22"/>
          <w:lang w:val="en-GB"/>
        </w:rPr>
        <w:t xml:space="preserve"> for training programs and digital justice initiatives.</w:t>
      </w:r>
    </w:p>
    <w:p w14:paraId="189756DE" w14:textId="47836F30" w:rsidR="006F1D10" w:rsidRPr="007A5C5F" w:rsidRDefault="00611FC4" w:rsidP="00D24919">
      <w:pPr>
        <w:pStyle w:val="Heading3"/>
        <w:jc w:val="center"/>
        <w:rPr>
          <w:rFonts w:ascii="Times New Roman" w:hAnsi="Times New Roman" w:cs="Times New Roman"/>
          <w:lang w:val="en-GB"/>
        </w:rPr>
      </w:pPr>
      <w:r w:rsidRPr="007A5C5F">
        <w:rPr>
          <w:rFonts w:ascii="Times New Roman" w:hAnsi="Times New Roman" w:cs="Times New Roman"/>
          <w:lang w:val="en-GB"/>
        </w:rPr>
        <w:t xml:space="preserve">Recommendation </w:t>
      </w:r>
      <w:r w:rsidR="000F687F">
        <w:rPr>
          <w:rFonts w:ascii="Times New Roman" w:hAnsi="Times New Roman" w:cs="Times New Roman"/>
          <w:lang w:val="en-GB"/>
        </w:rPr>
        <w:t>6</w:t>
      </w:r>
      <w:r w:rsidR="007226F8" w:rsidRPr="007A5C5F">
        <w:rPr>
          <w:rFonts w:ascii="Times New Roman" w:hAnsi="Times New Roman" w:cs="Times New Roman"/>
          <w:lang w:val="en-GB"/>
        </w:rPr>
        <w:t xml:space="preserve">- </w:t>
      </w:r>
      <w:r w:rsidRPr="007A5C5F">
        <w:rPr>
          <w:rFonts w:ascii="Times New Roman" w:hAnsi="Times New Roman" w:cs="Times New Roman"/>
          <w:lang w:val="en-GB"/>
        </w:rPr>
        <w:t xml:space="preserve">Sustainability: </w:t>
      </w:r>
      <w:r w:rsidR="006F1D10" w:rsidRPr="00CC5D19">
        <w:rPr>
          <w:rFonts w:ascii="Times New Roman" w:hAnsi="Times New Roman" w:cs="Times New Roman"/>
          <w:lang w:val="en-GB"/>
        </w:rPr>
        <w:t>Develop a Structured Exit and Transition Plan (Finding 1</w:t>
      </w:r>
      <w:r w:rsidR="00CA331C">
        <w:rPr>
          <w:rFonts w:ascii="Times New Roman" w:hAnsi="Times New Roman" w:cs="Times New Roman"/>
          <w:lang w:val="en-GB"/>
        </w:rPr>
        <w:t>3</w:t>
      </w:r>
      <w:r w:rsidR="007226F8" w:rsidRPr="007A5C5F">
        <w:rPr>
          <w:rFonts w:ascii="Times New Roman" w:hAnsi="Times New Roman" w:cs="Times New Roman"/>
          <w:lang w:val="en-GB"/>
        </w:rPr>
        <w:t>, 1</w:t>
      </w:r>
      <w:r w:rsidR="00CA331C">
        <w:rPr>
          <w:rFonts w:ascii="Times New Roman" w:hAnsi="Times New Roman" w:cs="Times New Roman"/>
          <w:lang w:val="en-GB"/>
        </w:rPr>
        <w:t>4</w:t>
      </w:r>
      <w:r w:rsidR="007226F8" w:rsidRPr="007A5C5F">
        <w:rPr>
          <w:rFonts w:ascii="Times New Roman" w:hAnsi="Times New Roman" w:cs="Times New Roman"/>
          <w:lang w:val="en-GB"/>
        </w:rPr>
        <w:t>, 1</w:t>
      </w:r>
      <w:r w:rsidR="00CA331C">
        <w:rPr>
          <w:rFonts w:ascii="Times New Roman" w:hAnsi="Times New Roman" w:cs="Times New Roman"/>
          <w:lang w:val="en-GB"/>
        </w:rPr>
        <w:t>5</w:t>
      </w:r>
      <w:r w:rsidR="006F1D10" w:rsidRPr="00CC5D19">
        <w:rPr>
          <w:rFonts w:ascii="Times New Roman" w:hAnsi="Times New Roman" w:cs="Times New Roman"/>
          <w:lang w:val="en-GB"/>
        </w:rPr>
        <w:t>)</w:t>
      </w:r>
    </w:p>
    <w:p w14:paraId="1D80F7C6" w14:textId="77777777" w:rsidR="006C1B04" w:rsidRPr="007A5C5F" w:rsidRDefault="006C1B04" w:rsidP="006C1B04">
      <w:pPr>
        <w:rPr>
          <w:lang w:val="en-GB"/>
        </w:rPr>
      </w:pPr>
    </w:p>
    <w:p w14:paraId="5278DEA1" w14:textId="3B0DCA59" w:rsidR="006C1B04" w:rsidRPr="007A5C5F" w:rsidRDefault="006C1B04" w:rsidP="006C1B04">
      <w:pPr>
        <w:rPr>
          <w:lang w:val="en-GB"/>
        </w:rPr>
      </w:pPr>
      <w:r w:rsidRPr="007A5C5F">
        <w:rPr>
          <w:i/>
          <w:iCs/>
          <w:lang w:val="en-GB"/>
        </w:rPr>
        <w:t>Responsible Entity: Ministry of Justice and JURE Implementing Team</w:t>
      </w:r>
      <w:r w:rsidRPr="007A5C5F">
        <w:rPr>
          <w:lang w:val="en-GB"/>
        </w:rPr>
        <w:br/>
      </w:r>
      <w:r w:rsidRPr="007A5C5F">
        <w:rPr>
          <w:i/>
          <w:iCs/>
          <w:lang w:val="en-GB"/>
        </w:rPr>
        <w:t>Priority Level: High</w:t>
      </w:r>
      <w:r w:rsidRPr="007A5C5F">
        <w:rPr>
          <w:lang w:val="en-GB"/>
        </w:rPr>
        <w:br/>
      </w:r>
      <w:r w:rsidRPr="007A5C5F">
        <w:rPr>
          <w:i/>
          <w:iCs/>
          <w:lang w:val="en-GB"/>
        </w:rPr>
        <w:t>Timeframe: Long-term (Throughout project duration and beyond)</w:t>
      </w:r>
    </w:p>
    <w:p w14:paraId="4718E47C" w14:textId="77777777" w:rsidR="006C1B04" w:rsidRPr="00CC5D19" w:rsidRDefault="006C1B04" w:rsidP="006C1B04">
      <w:pPr>
        <w:rPr>
          <w:lang w:val="en-GB"/>
        </w:rPr>
      </w:pPr>
    </w:p>
    <w:p w14:paraId="00EC3036" w14:textId="77777777" w:rsidR="006F1D10" w:rsidRPr="00CC5D19" w:rsidRDefault="006F1D10" w:rsidP="006F1D10">
      <w:pPr>
        <w:numPr>
          <w:ilvl w:val="1"/>
          <w:numId w:val="241"/>
        </w:numPr>
        <w:jc w:val="both"/>
        <w:rPr>
          <w:sz w:val="22"/>
          <w:szCs w:val="22"/>
          <w:lang w:val="en-GB"/>
        </w:rPr>
      </w:pPr>
      <w:r w:rsidRPr="00CC5D19">
        <w:rPr>
          <w:sz w:val="22"/>
          <w:szCs w:val="22"/>
          <w:lang w:val="en-GB"/>
        </w:rPr>
        <w:t xml:space="preserve">Work with </w:t>
      </w:r>
      <w:r w:rsidRPr="00CC5D19">
        <w:rPr>
          <w:rFonts w:eastAsia="AppleGothic"/>
          <w:b/>
          <w:bCs/>
          <w:sz w:val="22"/>
          <w:szCs w:val="22"/>
          <w:lang w:val="en-GB"/>
        </w:rPr>
        <w:t>MoJ, the Human Rights Commission, and other national institutions</w:t>
      </w:r>
      <w:r w:rsidRPr="00CC5D19">
        <w:rPr>
          <w:sz w:val="22"/>
          <w:szCs w:val="22"/>
          <w:lang w:val="en-GB"/>
        </w:rPr>
        <w:t xml:space="preserve"> to create a </w:t>
      </w:r>
      <w:r w:rsidRPr="00CC5D19">
        <w:rPr>
          <w:rFonts w:eastAsia="AppleGothic"/>
          <w:b/>
          <w:bCs/>
          <w:sz w:val="22"/>
          <w:szCs w:val="22"/>
          <w:lang w:val="en-GB"/>
        </w:rPr>
        <w:t>phased transition strategy</w:t>
      </w:r>
      <w:r w:rsidRPr="00CC5D19">
        <w:rPr>
          <w:sz w:val="22"/>
          <w:szCs w:val="22"/>
          <w:lang w:val="en-GB"/>
        </w:rPr>
        <w:t xml:space="preserve"> for handing over JURE-supported initiatives.</w:t>
      </w:r>
    </w:p>
    <w:p w14:paraId="00022585" w14:textId="77777777" w:rsidR="006F1D10" w:rsidRPr="00CC5D19" w:rsidRDefault="006F1D10" w:rsidP="006F1D10">
      <w:pPr>
        <w:numPr>
          <w:ilvl w:val="1"/>
          <w:numId w:val="241"/>
        </w:numPr>
        <w:jc w:val="both"/>
        <w:rPr>
          <w:sz w:val="22"/>
          <w:szCs w:val="22"/>
          <w:lang w:val="en-GB"/>
        </w:rPr>
      </w:pPr>
      <w:r w:rsidRPr="00CC5D19">
        <w:rPr>
          <w:sz w:val="22"/>
          <w:szCs w:val="22"/>
          <w:lang w:val="en-GB"/>
        </w:rPr>
        <w:t xml:space="preserve">Establish a </w:t>
      </w:r>
      <w:r w:rsidRPr="00CC5D19">
        <w:rPr>
          <w:rFonts w:eastAsia="AppleGothic"/>
          <w:b/>
          <w:bCs/>
          <w:sz w:val="22"/>
          <w:szCs w:val="22"/>
          <w:lang w:val="en-GB"/>
        </w:rPr>
        <w:t>formal sustainability agreement</w:t>
      </w:r>
      <w:r w:rsidRPr="00CC5D19">
        <w:rPr>
          <w:sz w:val="22"/>
          <w:szCs w:val="22"/>
          <w:lang w:val="en-GB"/>
        </w:rPr>
        <w:t xml:space="preserve"> with government institutions to ensure the continuity of key justice reforms after the project ends.</w:t>
      </w:r>
    </w:p>
    <w:p w14:paraId="6D65FEA3" w14:textId="77777777" w:rsidR="006F1D10" w:rsidRPr="00CC5D19" w:rsidRDefault="006F1D10" w:rsidP="006F1D10">
      <w:pPr>
        <w:numPr>
          <w:ilvl w:val="1"/>
          <w:numId w:val="241"/>
        </w:numPr>
        <w:jc w:val="both"/>
        <w:rPr>
          <w:sz w:val="22"/>
          <w:szCs w:val="22"/>
          <w:lang w:val="en-GB"/>
        </w:rPr>
      </w:pPr>
      <w:r w:rsidRPr="00CC5D19">
        <w:rPr>
          <w:sz w:val="22"/>
          <w:szCs w:val="22"/>
          <w:lang w:val="en-GB"/>
        </w:rPr>
        <w:t xml:space="preserve">Advocate for JURE-supported interventions to be incorporated into </w:t>
      </w:r>
      <w:r w:rsidRPr="00CC5D19">
        <w:rPr>
          <w:rFonts w:eastAsia="AppleGothic"/>
          <w:b/>
          <w:bCs/>
          <w:sz w:val="22"/>
          <w:szCs w:val="22"/>
          <w:lang w:val="en-GB"/>
        </w:rPr>
        <w:t>national strategic plans and state budget cycles</w:t>
      </w:r>
      <w:r w:rsidRPr="00CC5D19">
        <w:rPr>
          <w:sz w:val="22"/>
          <w:szCs w:val="22"/>
          <w:lang w:val="en-GB"/>
        </w:rPr>
        <w:t xml:space="preserve"> to ensure sustained financing.</w:t>
      </w:r>
    </w:p>
    <w:p w14:paraId="4D2D86E6" w14:textId="57450783" w:rsidR="00611FC4" w:rsidRPr="00CC5D19" w:rsidRDefault="00611FC4" w:rsidP="00611FC4">
      <w:pPr>
        <w:numPr>
          <w:ilvl w:val="0"/>
          <w:numId w:val="241"/>
        </w:numPr>
        <w:jc w:val="both"/>
        <w:rPr>
          <w:sz w:val="22"/>
          <w:szCs w:val="22"/>
          <w:lang w:val="en-GB"/>
        </w:rPr>
      </w:pPr>
      <w:r w:rsidRPr="00CC5D19">
        <w:rPr>
          <w:rFonts w:eastAsia="AppleGothic"/>
          <w:b/>
          <w:bCs/>
          <w:sz w:val="22"/>
          <w:szCs w:val="22"/>
          <w:lang w:val="en-GB"/>
        </w:rPr>
        <w:t>Secure the Sustainability of Digital and Technological Innovations</w:t>
      </w:r>
    </w:p>
    <w:p w14:paraId="669CFDBE" w14:textId="77777777" w:rsidR="00611FC4" w:rsidRPr="00CC5D19" w:rsidRDefault="00611FC4" w:rsidP="00611FC4">
      <w:pPr>
        <w:numPr>
          <w:ilvl w:val="1"/>
          <w:numId w:val="241"/>
        </w:numPr>
        <w:jc w:val="both"/>
        <w:rPr>
          <w:sz w:val="22"/>
          <w:szCs w:val="22"/>
          <w:lang w:val="en-GB"/>
        </w:rPr>
      </w:pPr>
      <w:r w:rsidRPr="00CC5D19">
        <w:rPr>
          <w:sz w:val="22"/>
          <w:szCs w:val="22"/>
          <w:lang w:val="en-GB"/>
        </w:rPr>
        <w:t xml:space="preserve">Provide technical support to national justice institutions to </w:t>
      </w:r>
      <w:r w:rsidRPr="00CC5D19">
        <w:rPr>
          <w:rFonts w:eastAsia="AppleGothic"/>
          <w:b/>
          <w:bCs/>
          <w:sz w:val="22"/>
          <w:szCs w:val="22"/>
          <w:lang w:val="en-GB"/>
        </w:rPr>
        <w:t>develop long-term digital infrastructure plans</w:t>
      </w:r>
      <w:r w:rsidRPr="00CC5D19">
        <w:rPr>
          <w:sz w:val="22"/>
          <w:szCs w:val="22"/>
          <w:lang w:val="en-GB"/>
        </w:rPr>
        <w:t xml:space="preserve"> that integrate JURE-supported platforms.</w:t>
      </w:r>
    </w:p>
    <w:p w14:paraId="2FBF5A36" w14:textId="77777777" w:rsidR="00611FC4" w:rsidRPr="00CC5D19" w:rsidRDefault="00611FC4" w:rsidP="00611FC4">
      <w:pPr>
        <w:numPr>
          <w:ilvl w:val="1"/>
          <w:numId w:val="241"/>
        </w:numPr>
        <w:jc w:val="both"/>
        <w:rPr>
          <w:sz w:val="22"/>
          <w:szCs w:val="22"/>
          <w:lang w:val="en-GB"/>
        </w:rPr>
      </w:pPr>
      <w:r w:rsidRPr="00CC5D19">
        <w:rPr>
          <w:sz w:val="22"/>
          <w:szCs w:val="22"/>
          <w:lang w:val="en-GB"/>
        </w:rPr>
        <w:t xml:space="preserve">Conduct </w:t>
      </w:r>
      <w:r w:rsidRPr="00CC5D19">
        <w:rPr>
          <w:rFonts w:eastAsia="AppleGothic"/>
          <w:b/>
          <w:bCs/>
          <w:sz w:val="22"/>
          <w:szCs w:val="22"/>
          <w:lang w:val="en-GB"/>
        </w:rPr>
        <w:t>training for IT and administrative staff</w:t>
      </w:r>
      <w:r w:rsidRPr="00CC5D19">
        <w:rPr>
          <w:sz w:val="22"/>
          <w:szCs w:val="22"/>
          <w:lang w:val="en-GB"/>
        </w:rPr>
        <w:t xml:space="preserve"> within courts and legal institutions to maintain digital tools beyond the project’s duration.</w:t>
      </w:r>
    </w:p>
    <w:p w14:paraId="5AF48A94" w14:textId="77777777" w:rsidR="00611FC4" w:rsidRPr="00CC5D19" w:rsidRDefault="00611FC4" w:rsidP="00611FC4">
      <w:pPr>
        <w:numPr>
          <w:ilvl w:val="1"/>
          <w:numId w:val="241"/>
        </w:numPr>
        <w:jc w:val="both"/>
        <w:rPr>
          <w:sz w:val="22"/>
          <w:szCs w:val="22"/>
          <w:lang w:val="en-GB"/>
        </w:rPr>
      </w:pPr>
      <w:r w:rsidRPr="00CC5D19">
        <w:rPr>
          <w:sz w:val="22"/>
          <w:szCs w:val="22"/>
          <w:lang w:val="en-GB"/>
        </w:rPr>
        <w:t xml:space="preserve">Support </w:t>
      </w:r>
      <w:r w:rsidRPr="00CC5D19">
        <w:rPr>
          <w:rFonts w:eastAsia="AppleGothic"/>
          <w:b/>
          <w:bCs/>
          <w:sz w:val="22"/>
          <w:szCs w:val="22"/>
          <w:lang w:val="en-GB"/>
        </w:rPr>
        <w:t>legislative or policy frameworks</w:t>
      </w:r>
      <w:r w:rsidRPr="00CC5D19">
        <w:rPr>
          <w:sz w:val="22"/>
          <w:szCs w:val="22"/>
          <w:lang w:val="en-GB"/>
        </w:rPr>
        <w:t xml:space="preserve"> that formalize the use of digital justice tools, ensuring their continued relevance and funding.</w:t>
      </w:r>
    </w:p>
    <w:p w14:paraId="72753C1C" w14:textId="25DF6898" w:rsidR="00611FC4" w:rsidRPr="00CC5D19" w:rsidRDefault="00611FC4" w:rsidP="00611FC4">
      <w:pPr>
        <w:numPr>
          <w:ilvl w:val="0"/>
          <w:numId w:val="241"/>
        </w:numPr>
        <w:jc w:val="both"/>
        <w:rPr>
          <w:sz w:val="22"/>
          <w:szCs w:val="22"/>
          <w:lang w:val="en-GB"/>
        </w:rPr>
      </w:pPr>
      <w:r w:rsidRPr="00CC5D19">
        <w:rPr>
          <w:rFonts w:eastAsia="AppleGothic"/>
          <w:b/>
          <w:bCs/>
          <w:sz w:val="22"/>
          <w:szCs w:val="22"/>
          <w:lang w:val="en-GB"/>
        </w:rPr>
        <w:t>Expand and Institutionalize Legal Education and Capacity-Building Initiatives</w:t>
      </w:r>
      <w:r w:rsidRPr="00CC5D19">
        <w:rPr>
          <w:sz w:val="22"/>
          <w:szCs w:val="22"/>
          <w:lang w:val="en-GB"/>
        </w:rPr>
        <w:t xml:space="preserve"> </w:t>
      </w:r>
    </w:p>
    <w:p w14:paraId="63BA1F4F" w14:textId="0EEC0665" w:rsidR="006F1D10" w:rsidRPr="007A5C5F" w:rsidRDefault="00611FC4" w:rsidP="006F1D10">
      <w:pPr>
        <w:numPr>
          <w:ilvl w:val="1"/>
          <w:numId w:val="241"/>
        </w:numPr>
        <w:jc w:val="both"/>
        <w:rPr>
          <w:sz w:val="22"/>
          <w:szCs w:val="22"/>
          <w:lang w:val="en-GB"/>
        </w:rPr>
      </w:pPr>
      <w:r w:rsidRPr="00CC5D19">
        <w:rPr>
          <w:sz w:val="22"/>
          <w:szCs w:val="22"/>
          <w:lang w:val="en-GB"/>
        </w:rPr>
        <w:t xml:space="preserve">Ensure the </w:t>
      </w:r>
      <w:r w:rsidRPr="00CC5D19">
        <w:rPr>
          <w:rFonts w:eastAsia="AppleGothic"/>
          <w:b/>
          <w:bCs/>
          <w:sz w:val="22"/>
          <w:szCs w:val="22"/>
          <w:lang w:val="en-GB"/>
        </w:rPr>
        <w:t>LLM in Environmental Law</w:t>
      </w:r>
      <w:r w:rsidRPr="00CC5D19">
        <w:rPr>
          <w:sz w:val="22"/>
          <w:szCs w:val="22"/>
          <w:lang w:val="en-GB"/>
        </w:rPr>
        <w:t xml:space="preserve"> is fully embedded in Sri Lanka’s legal education framework and linked to continuing legal education programs.</w:t>
      </w:r>
    </w:p>
    <w:p w14:paraId="0C7B2499" w14:textId="02887372" w:rsidR="00611FC4" w:rsidRPr="00CC5D19" w:rsidRDefault="00611FC4" w:rsidP="00611FC4">
      <w:pPr>
        <w:numPr>
          <w:ilvl w:val="0"/>
          <w:numId w:val="243"/>
        </w:numPr>
        <w:jc w:val="both"/>
        <w:rPr>
          <w:sz w:val="22"/>
          <w:szCs w:val="22"/>
          <w:lang w:val="en-GB"/>
        </w:rPr>
      </w:pPr>
      <w:r w:rsidRPr="00CC5D19">
        <w:rPr>
          <w:rFonts w:eastAsia="AppleGothic"/>
          <w:b/>
          <w:bCs/>
          <w:sz w:val="22"/>
          <w:szCs w:val="22"/>
          <w:lang w:val="en-GB"/>
        </w:rPr>
        <w:t>Support Institutional Ownership of Legal Aid Reforms</w:t>
      </w:r>
      <w:r w:rsidRPr="00CC5D19">
        <w:rPr>
          <w:sz w:val="22"/>
          <w:szCs w:val="22"/>
          <w:lang w:val="en-GB"/>
        </w:rPr>
        <w:t xml:space="preserve"> </w:t>
      </w:r>
    </w:p>
    <w:p w14:paraId="6B37C311" w14:textId="77777777" w:rsidR="00611FC4" w:rsidRPr="00CC5D19" w:rsidRDefault="00611FC4" w:rsidP="00611FC4">
      <w:pPr>
        <w:numPr>
          <w:ilvl w:val="1"/>
          <w:numId w:val="239"/>
        </w:numPr>
        <w:jc w:val="both"/>
        <w:rPr>
          <w:sz w:val="22"/>
          <w:szCs w:val="22"/>
          <w:lang w:val="en-GB"/>
        </w:rPr>
      </w:pPr>
      <w:r w:rsidRPr="00CC5D19">
        <w:rPr>
          <w:sz w:val="22"/>
          <w:szCs w:val="22"/>
          <w:lang w:val="en-GB"/>
        </w:rPr>
        <w:t xml:space="preserve">Assist the </w:t>
      </w:r>
      <w:r w:rsidRPr="00CC5D19">
        <w:rPr>
          <w:rFonts w:eastAsia="AppleGothic"/>
          <w:b/>
          <w:bCs/>
          <w:sz w:val="22"/>
          <w:szCs w:val="22"/>
          <w:lang w:val="en-GB"/>
        </w:rPr>
        <w:t>Ministry of Justice (MoJ) and the Legal Aid Commission (LAC)</w:t>
      </w:r>
      <w:r w:rsidRPr="00CC5D19">
        <w:rPr>
          <w:sz w:val="22"/>
          <w:szCs w:val="22"/>
          <w:lang w:val="en-GB"/>
        </w:rPr>
        <w:t xml:space="preserve"> in fully integrating decentralized legal aid services into national justice policies.</w:t>
      </w:r>
    </w:p>
    <w:p w14:paraId="554359F0" w14:textId="77777777" w:rsidR="00611FC4" w:rsidRPr="007A5C5F" w:rsidRDefault="00611FC4" w:rsidP="00611FC4">
      <w:pPr>
        <w:numPr>
          <w:ilvl w:val="1"/>
          <w:numId w:val="239"/>
        </w:numPr>
        <w:jc w:val="both"/>
        <w:rPr>
          <w:sz w:val="22"/>
          <w:szCs w:val="22"/>
          <w:lang w:val="en-GB"/>
        </w:rPr>
      </w:pPr>
      <w:r w:rsidRPr="00CC5D19">
        <w:rPr>
          <w:sz w:val="22"/>
          <w:szCs w:val="22"/>
          <w:lang w:val="en-GB"/>
        </w:rPr>
        <w:t xml:space="preserve">Provide technical expertise to </w:t>
      </w:r>
      <w:r w:rsidRPr="00CC5D19">
        <w:rPr>
          <w:rFonts w:eastAsia="AppleGothic"/>
          <w:b/>
          <w:bCs/>
          <w:sz w:val="22"/>
          <w:szCs w:val="22"/>
          <w:lang w:val="en-GB"/>
        </w:rPr>
        <w:t>develop standardized training modules</w:t>
      </w:r>
      <w:r w:rsidRPr="00CC5D19">
        <w:rPr>
          <w:sz w:val="22"/>
          <w:szCs w:val="22"/>
          <w:lang w:val="en-GB"/>
        </w:rPr>
        <w:t xml:space="preserve"> for paralegals and law students, ensuring the long-term availability of trained legal aid providers.</w:t>
      </w:r>
    </w:p>
    <w:p w14:paraId="13A6EDBD" w14:textId="0AE9AD9E" w:rsidR="007226F8" w:rsidRPr="00BE305F" w:rsidRDefault="007226F8" w:rsidP="007226F8">
      <w:pPr>
        <w:numPr>
          <w:ilvl w:val="0"/>
          <w:numId w:val="243"/>
        </w:numPr>
        <w:jc w:val="both"/>
        <w:rPr>
          <w:b/>
          <w:bCs/>
          <w:sz w:val="22"/>
          <w:szCs w:val="22"/>
          <w:lang w:val="en-GB"/>
        </w:rPr>
      </w:pPr>
      <w:r w:rsidRPr="00BE305F">
        <w:rPr>
          <w:rFonts w:eastAsia="AppleGothic"/>
          <w:b/>
          <w:bCs/>
          <w:sz w:val="22"/>
          <w:szCs w:val="22"/>
          <w:lang w:val="en-GB"/>
        </w:rPr>
        <w:t xml:space="preserve">Enhance the Sustainability of EU-Funded Justice Sector Reforms </w:t>
      </w:r>
    </w:p>
    <w:p w14:paraId="05FB2E5A" w14:textId="77777777" w:rsidR="007226F8" w:rsidRPr="00BE305F" w:rsidRDefault="007226F8" w:rsidP="007226F8">
      <w:pPr>
        <w:numPr>
          <w:ilvl w:val="0"/>
          <w:numId w:val="222"/>
        </w:numPr>
        <w:jc w:val="both"/>
        <w:rPr>
          <w:sz w:val="22"/>
          <w:szCs w:val="22"/>
          <w:lang w:val="en-GB"/>
        </w:rPr>
      </w:pPr>
      <w:r w:rsidRPr="00BE305F">
        <w:rPr>
          <w:sz w:val="22"/>
          <w:szCs w:val="22"/>
          <w:lang w:val="en-GB"/>
        </w:rPr>
        <w:lastRenderedPageBreak/>
        <w:t xml:space="preserve">Develop a </w:t>
      </w:r>
      <w:r w:rsidRPr="00BE305F">
        <w:rPr>
          <w:rFonts w:eastAsia="AppleGothic"/>
          <w:b/>
          <w:bCs/>
          <w:sz w:val="22"/>
          <w:szCs w:val="22"/>
          <w:lang w:val="en-GB"/>
        </w:rPr>
        <w:t>Justice Reform Sustainability Roadmap</w:t>
      </w:r>
      <w:r w:rsidRPr="00BE305F">
        <w:rPr>
          <w:sz w:val="22"/>
          <w:szCs w:val="22"/>
          <w:lang w:val="en-GB"/>
        </w:rPr>
        <w:t xml:space="preserve"> with clear strategies for the </w:t>
      </w:r>
      <w:r w:rsidRPr="00BE305F">
        <w:rPr>
          <w:rFonts w:eastAsia="AppleGothic"/>
          <w:b/>
          <w:bCs/>
          <w:sz w:val="22"/>
          <w:szCs w:val="22"/>
          <w:lang w:val="en-GB"/>
        </w:rPr>
        <w:t>Ministry of Justice, judiciary, and legal aid institutions</w:t>
      </w:r>
      <w:r w:rsidRPr="00BE305F">
        <w:rPr>
          <w:sz w:val="22"/>
          <w:szCs w:val="22"/>
          <w:lang w:val="en-GB"/>
        </w:rPr>
        <w:t xml:space="preserve"> to continue reforms beyond EU funding cycles.</w:t>
      </w:r>
    </w:p>
    <w:p w14:paraId="7F618987" w14:textId="4BEB020C" w:rsidR="00254A44" w:rsidRPr="00CC5D19" w:rsidRDefault="007226F8" w:rsidP="00254A44">
      <w:pPr>
        <w:numPr>
          <w:ilvl w:val="0"/>
          <w:numId w:val="222"/>
        </w:numPr>
        <w:jc w:val="both"/>
        <w:rPr>
          <w:sz w:val="22"/>
          <w:szCs w:val="22"/>
          <w:lang w:val="en-GB"/>
        </w:rPr>
      </w:pPr>
      <w:r w:rsidRPr="00BE305F">
        <w:rPr>
          <w:sz w:val="22"/>
          <w:szCs w:val="22"/>
          <w:lang w:val="en-GB"/>
        </w:rPr>
        <w:t xml:space="preserve">Support the </w:t>
      </w:r>
      <w:r w:rsidRPr="00BE305F">
        <w:rPr>
          <w:rFonts w:eastAsia="AppleGothic"/>
          <w:b/>
          <w:bCs/>
          <w:sz w:val="22"/>
          <w:szCs w:val="22"/>
          <w:lang w:val="en-GB"/>
        </w:rPr>
        <w:t>institutionalization of specialized legal training programs</w:t>
      </w:r>
      <w:r w:rsidRPr="00BE305F">
        <w:rPr>
          <w:sz w:val="22"/>
          <w:szCs w:val="22"/>
          <w:lang w:val="en-GB"/>
        </w:rPr>
        <w:t xml:space="preserve"> (e.g., environmental law, gender-sensitive justice) within </w:t>
      </w:r>
      <w:r w:rsidRPr="00BE305F">
        <w:rPr>
          <w:rFonts w:eastAsia="AppleGothic"/>
          <w:b/>
          <w:bCs/>
          <w:sz w:val="22"/>
          <w:szCs w:val="22"/>
          <w:lang w:val="en-GB"/>
        </w:rPr>
        <w:t>Sri Lankan law schools and professional training institutions</w:t>
      </w:r>
      <w:r w:rsidRPr="00BE305F">
        <w:rPr>
          <w:sz w:val="22"/>
          <w:szCs w:val="22"/>
          <w:lang w:val="en-GB"/>
        </w:rPr>
        <w:t xml:space="preserve"> to ensure long-term capacity development.</w:t>
      </w:r>
    </w:p>
    <w:p w14:paraId="5BE5EFD6" w14:textId="184D6493" w:rsidR="00254A44" w:rsidRPr="007A5C5F" w:rsidRDefault="00611FC4" w:rsidP="00D24919">
      <w:pPr>
        <w:pStyle w:val="Heading3"/>
        <w:jc w:val="center"/>
        <w:rPr>
          <w:rFonts w:ascii="Times New Roman" w:hAnsi="Times New Roman" w:cs="Times New Roman"/>
          <w:lang w:val="en-GB"/>
        </w:rPr>
      </w:pPr>
      <w:r w:rsidRPr="007A5C5F">
        <w:rPr>
          <w:rFonts w:ascii="Times New Roman" w:hAnsi="Times New Roman" w:cs="Times New Roman"/>
          <w:lang w:val="en-GB"/>
        </w:rPr>
        <w:t>Recommendation</w:t>
      </w:r>
      <w:r w:rsidR="007226F8" w:rsidRPr="007A5C5F">
        <w:rPr>
          <w:rFonts w:ascii="Times New Roman" w:hAnsi="Times New Roman" w:cs="Times New Roman"/>
          <w:lang w:val="en-GB"/>
        </w:rPr>
        <w:t xml:space="preserve"> </w:t>
      </w:r>
      <w:r w:rsidR="000F687F">
        <w:rPr>
          <w:rFonts w:ascii="Times New Roman" w:hAnsi="Times New Roman" w:cs="Times New Roman"/>
          <w:lang w:val="en-GB"/>
        </w:rPr>
        <w:t>7</w:t>
      </w:r>
      <w:r w:rsidR="007226F8" w:rsidRPr="007A5C5F">
        <w:rPr>
          <w:rFonts w:ascii="Times New Roman" w:hAnsi="Times New Roman" w:cs="Times New Roman"/>
          <w:lang w:val="en-GB"/>
        </w:rPr>
        <w:t xml:space="preserve"> </w:t>
      </w:r>
      <w:r w:rsidR="00325CFF" w:rsidRPr="007A5C5F">
        <w:rPr>
          <w:rFonts w:ascii="Times New Roman" w:hAnsi="Times New Roman" w:cs="Times New Roman"/>
          <w:lang w:val="en-GB"/>
        </w:rPr>
        <w:t>- GENDER</w:t>
      </w:r>
      <w:r w:rsidR="00254A44" w:rsidRPr="007A5C5F">
        <w:rPr>
          <w:rFonts w:ascii="Times New Roman" w:hAnsi="Times New Roman" w:cs="Times New Roman"/>
          <w:lang w:val="en-GB"/>
        </w:rPr>
        <w:t xml:space="preserve"> and Human rights</w:t>
      </w:r>
      <w:r w:rsidR="00C067E7" w:rsidRPr="007A5C5F">
        <w:rPr>
          <w:rFonts w:ascii="Times New Roman" w:hAnsi="Times New Roman" w:cs="Times New Roman"/>
          <w:lang w:val="en-GB"/>
        </w:rPr>
        <w:t xml:space="preserve"> </w:t>
      </w:r>
      <w:r w:rsidR="00C067E7" w:rsidRPr="00BE305F">
        <w:rPr>
          <w:rFonts w:ascii="Times New Roman" w:hAnsi="Times New Roman" w:cs="Times New Roman"/>
          <w:lang w:val="en-GB"/>
        </w:rPr>
        <w:t>(Finding 1</w:t>
      </w:r>
      <w:r w:rsidR="00CA331C">
        <w:rPr>
          <w:rFonts w:ascii="Times New Roman" w:hAnsi="Times New Roman" w:cs="Times New Roman"/>
          <w:lang w:val="en-GB"/>
        </w:rPr>
        <w:t>3</w:t>
      </w:r>
      <w:r w:rsidR="00C067E7" w:rsidRPr="00BE305F">
        <w:rPr>
          <w:rFonts w:ascii="Times New Roman" w:hAnsi="Times New Roman" w:cs="Times New Roman"/>
          <w:lang w:val="en-GB"/>
        </w:rPr>
        <w:t>)</w:t>
      </w:r>
    </w:p>
    <w:p w14:paraId="0C4868F8" w14:textId="2C930737" w:rsidR="006C1B04" w:rsidRPr="007A5C5F" w:rsidRDefault="006C1B04" w:rsidP="006C1B04">
      <w:pPr>
        <w:rPr>
          <w:lang w:val="en-GB"/>
        </w:rPr>
      </w:pPr>
      <w:r w:rsidRPr="007A5C5F">
        <w:rPr>
          <w:i/>
          <w:iCs/>
          <w:lang w:val="en-GB"/>
        </w:rPr>
        <w:t>Responsible Entity: JURE Project Implementing Team and Ministry of Justice</w:t>
      </w:r>
      <w:r w:rsidRPr="007A5C5F">
        <w:rPr>
          <w:lang w:val="en-GB"/>
        </w:rPr>
        <w:br/>
      </w:r>
      <w:r w:rsidRPr="007A5C5F">
        <w:rPr>
          <w:i/>
          <w:iCs/>
          <w:lang w:val="en-GB"/>
        </w:rPr>
        <w:t>Priority Level: Medium to High</w:t>
      </w:r>
      <w:r w:rsidRPr="007A5C5F">
        <w:rPr>
          <w:lang w:val="en-GB"/>
        </w:rPr>
        <w:br/>
      </w:r>
      <w:r w:rsidRPr="007A5C5F">
        <w:rPr>
          <w:i/>
          <w:iCs/>
          <w:lang w:val="en-GB"/>
        </w:rPr>
        <w:t>Timeframe: Immediate to Long-term</w:t>
      </w:r>
    </w:p>
    <w:p w14:paraId="1F2EBEE2" w14:textId="77777777" w:rsidR="00254A44" w:rsidRPr="007A5C5F" w:rsidRDefault="00254A44" w:rsidP="00254A44">
      <w:pPr>
        <w:jc w:val="both"/>
        <w:rPr>
          <w:sz w:val="22"/>
          <w:szCs w:val="22"/>
          <w:lang w:val="en-GB"/>
        </w:rPr>
      </w:pPr>
    </w:p>
    <w:p w14:paraId="29547E53" w14:textId="77777777" w:rsidR="00254A44" w:rsidRPr="00BE305F" w:rsidRDefault="00254A44" w:rsidP="00254A44">
      <w:pPr>
        <w:numPr>
          <w:ilvl w:val="0"/>
          <w:numId w:val="216"/>
        </w:numPr>
        <w:jc w:val="both"/>
        <w:rPr>
          <w:sz w:val="22"/>
          <w:szCs w:val="22"/>
          <w:lang w:val="en-GB"/>
        </w:rPr>
      </w:pPr>
      <w:r w:rsidRPr="00BE305F">
        <w:rPr>
          <w:rFonts w:eastAsia="AppleGothic"/>
          <w:b/>
          <w:bCs/>
          <w:sz w:val="22"/>
          <w:szCs w:val="22"/>
          <w:lang w:val="en-GB"/>
        </w:rPr>
        <w:t>Ensure sustainable funding for gender-responsive legal aid</w:t>
      </w:r>
      <w:r w:rsidRPr="00BE305F">
        <w:rPr>
          <w:sz w:val="22"/>
          <w:szCs w:val="22"/>
          <w:lang w:val="en-GB"/>
        </w:rPr>
        <w:t xml:space="preserve"> by advocating for </w:t>
      </w:r>
      <w:r w:rsidRPr="00BE305F">
        <w:rPr>
          <w:rFonts w:eastAsia="AppleGothic"/>
          <w:b/>
          <w:bCs/>
          <w:sz w:val="22"/>
          <w:szCs w:val="22"/>
          <w:lang w:val="en-GB"/>
        </w:rPr>
        <w:t>permanent state budget allocations for free legal aid services</w:t>
      </w:r>
      <w:r w:rsidRPr="00BE305F">
        <w:rPr>
          <w:sz w:val="22"/>
          <w:szCs w:val="22"/>
          <w:lang w:val="en-GB"/>
        </w:rPr>
        <w:t xml:space="preserve"> targeted at GBV survivors and marginalized groups.</w:t>
      </w:r>
    </w:p>
    <w:p w14:paraId="297EEF53" w14:textId="77777777" w:rsidR="00254A44" w:rsidRPr="00BE305F" w:rsidRDefault="00254A44" w:rsidP="00254A44">
      <w:pPr>
        <w:numPr>
          <w:ilvl w:val="0"/>
          <w:numId w:val="216"/>
        </w:numPr>
        <w:jc w:val="both"/>
        <w:rPr>
          <w:sz w:val="22"/>
          <w:szCs w:val="22"/>
          <w:lang w:val="en-GB"/>
        </w:rPr>
      </w:pPr>
      <w:r w:rsidRPr="00BE305F">
        <w:rPr>
          <w:rFonts w:eastAsia="AppleGothic"/>
          <w:b/>
          <w:bCs/>
          <w:sz w:val="22"/>
          <w:szCs w:val="22"/>
          <w:lang w:val="en-GB"/>
        </w:rPr>
        <w:t>Integrate economic empowerment initiatives with legal aid</w:t>
      </w:r>
      <w:r w:rsidRPr="00BE305F">
        <w:rPr>
          <w:sz w:val="22"/>
          <w:szCs w:val="22"/>
          <w:lang w:val="en-GB"/>
        </w:rPr>
        <w:t xml:space="preserve"> to prevent financial dependency as a barrier to justice. Support </w:t>
      </w:r>
      <w:r w:rsidRPr="00BE305F">
        <w:rPr>
          <w:rFonts w:eastAsia="AppleGothic"/>
          <w:b/>
          <w:bCs/>
          <w:sz w:val="22"/>
          <w:szCs w:val="22"/>
          <w:lang w:val="en-GB"/>
        </w:rPr>
        <w:t>income-generating programs</w:t>
      </w:r>
      <w:r w:rsidRPr="00BE305F">
        <w:rPr>
          <w:sz w:val="22"/>
          <w:szCs w:val="22"/>
          <w:lang w:val="en-GB"/>
        </w:rPr>
        <w:t xml:space="preserve"> for women facing legal disputes related to family law, inheritance, or domestic violence.</w:t>
      </w:r>
    </w:p>
    <w:p w14:paraId="4DFC48F9" w14:textId="731A70D7" w:rsidR="00254A44" w:rsidRPr="00BE305F" w:rsidRDefault="00254A44" w:rsidP="00C067E7">
      <w:pPr>
        <w:jc w:val="both"/>
        <w:rPr>
          <w:sz w:val="22"/>
          <w:szCs w:val="22"/>
          <w:lang w:val="en-GB"/>
        </w:rPr>
      </w:pPr>
      <w:r w:rsidRPr="00BE305F">
        <w:rPr>
          <w:rFonts w:eastAsia="AppleGothic"/>
          <w:b/>
          <w:bCs/>
          <w:sz w:val="22"/>
          <w:szCs w:val="22"/>
          <w:lang w:val="en-GB"/>
        </w:rPr>
        <w:t>4. Institutionalize Disability-Inclusive Justice Services</w:t>
      </w:r>
      <w:r w:rsidR="00597CD7">
        <w:rPr>
          <w:rFonts w:eastAsia="AppleGothic"/>
          <w:b/>
          <w:bCs/>
          <w:sz w:val="22"/>
          <w:szCs w:val="22"/>
          <w:lang w:val="en-GB"/>
        </w:rPr>
        <w:t>.</w:t>
      </w:r>
      <w:r w:rsidRPr="00BE305F">
        <w:rPr>
          <w:b/>
          <w:bCs/>
          <w:sz w:val="22"/>
          <w:szCs w:val="22"/>
          <w:lang w:val="en-GB"/>
        </w:rPr>
        <w:t xml:space="preserve"> </w:t>
      </w:r>
      <w:r w:rsidRPr="00BE305F">
        <w:rPr>
          <w:rFonts w:eastAsia="AppleGothic"/>
          <w:b/>
          <w:bCs/>
          <w:sz w:val="22"/>
          <w:szCs w:val="22"/>
          <w:lang w:val="en-GB"/>
        </w:rPr>
        <w:t>Develop disability-inclusive legal procedures</w:t>
      </w:r>
      <w:r w:rsidRPr="00BE305F">
        <w:rPr>
          <w:sz w:val="22"/>
          <w:szCs w:val="22"/>
          <w:lang w:val="en-GB"/>
        </w:rPr>
        <w:t xml:space="preserve"> by ensuring courts and police stations are equipped with </w:t>
      </w:r>
      <w:r w:rsidRPr="00BE305F">
        <w:rPr>
          <w:rFonts w:eastAsia="AppleGothic"/>
          <w:b/>
          <w:bCs/>
          <w:sz w:val="22"/>
          <w:szCs w:val="22"/>
          <w:lang w:val="en-GB"/>
        </w:rPr>
        <w:t>sign language interpreters, accessible digital tools, and trained personnel</w:t>
      </w:r>
      <w:r w:rsidRPr="00BE305F">
        <w:rPr>
          <w:sz w:val="22"/>
          <w:szCs w:val="22"/>
          <w:lang w:val="en-GB"/>
        </w:rPr>
        <w:t xml:space="preserve"> to support persons with disabilities.</w:t>
      </w:r>
    </w:p>
    <w:p w14:paraId="62886327" w14:textId="77777777" w:rsidR="00254A44" w:rsidRPr="00BE305F" w:rsidRDefault="00254A44" w:rsidP="00254A44">
      <w:pPr>
        <w:numPr>
          <w:ilvl w:val="0"/>
          <w:numId w:val="217"/>
        </w:numPr>
        <w:jc w:val="both"/>
        <w:rPr>
          <w:sz w:val="22"/>
          <w:szCs w:val="22"/>
          <w:lang w:val="en-GB"/>
        </w:rPr>
      </w:pPr>
      <w:r w:rsidRPr="00BE305F">
        <w:rPr>
          <w:rFonts w:eastAsia="AppleGothic"/>
          <w:b/>
          <w:bCs/>
          <w:sz w:val="22"/>
          <w:szCs w:val="22"/>
          <w:lang w:val="en-GB"/>
        </w:rPr>
        <w:t>Train justice sector actors on the rights of persons with disabilities</w:t>
      </w:r>
      <w:r w:rsidRPr="00BE305F">
        <w:rPr>
          <w:sz w:val="22"/>
          <w:szCs w:val="22"/>
          <w:lang w:val="en-GB"/>
        </w:rPr>
        <w:t xml:space="preserve"> by institutionalizing </w:t>
      </w:r>
      <w:r w:rsidRPr="00BE305F">
        <w:rPr>
          <w:rFonts w:eastAsia="AppleGothic"/>
          <w:b/>
          <w:bCs/>
          <w:sz w:val="22"/>
          <w:szCs w:val="22"/>
          <w:lang w:val="en-GB"/>
        </w:rPr>
        <w:t>mandatory courses on disability law, accessibility, and inclusion</w:t>
      </w:r>
      <w:r w:rsidRPr="00BE305F">
        <w:rPr>
          <w:sz w:val="22"/>
          <w:szCs w:val="22"/>
          <w:lang w:val="en-GB"/>
        </w:rPr>
        <w:t xml:space="preserve"> for police, judiciary, and legal aid providers.</w:t>
      </w:r>
    </w:p>
    <w:p w14:paraId="2550C22F" w14:textId="77777777" w:rsidR="00254A44" w:rsidRPr="00BE305F" w:rsidRDefault="00254A44" w:rsidP="00254A44">
      <w:pPr>
        <w:numPr>
          <w:ilvl w:val="0"/>
          <w:numId w:val="217"/>
        </w:numPr>
        <w:jc w:val="both"/>
        <w:rPr>
          <w:sz w:val="22"/>
          <w:szCs w:val="22"/>
          <w:lang w:val="en-GB"/>
        </w:rPr>
      </w:pPr>
      <w:r w:rsidRPr="00BE305F">
        <w:rPr>
          <w:rFonts w:eastAsia="AppleGothic"/>
          <w:b/>
          <w:bCs/>
          <w:sz w:val="22"/>
          <w:szCs w:val="22"/>
          <w:lang w:val="en-GB"/>
        </w:rPr>
        <w:t>Formalize disability inclusion policies</w:t>
      </w:r>
      <w:r w:rsidRPr="00BE305F">
        <w:rPr>
          <w:sz w:val="22"/>
          <w:szCs w:val="22"/>
          <w:lang w:val="en-GB"/>
        </w:rPr>
        <w:t xml:space="preserve"> within the Ministry of Justice, ensuring persons with disabilities have </w:t>
      </w:r>
      <w:r w:rsidRPr="00BE305F">
        <w:rPr>
          <w:rFonts w:eastAsia="AppleGothic"/>
          <w:b/>
          <w:bCs/>
          <w:sz w:val="22"/>
          <w:szCs w:val="22"/>
          <w:lang w:val="en-GB"/>
        </w:rPr>
        <w:t>equal access to legal representation, court proceedings, and justice system protections</w:t>
      </w:r>
      <w:r w:rsidRPr="00BE305F">
        <w:rPr>
          <w:sz w:val="22"/>
          <w:szCs w:val="22"/>
          <w:lang w:val="en-GB"/>
        </w:rPr>
        <w:t>.</w:t>
      </w:r>
    </w:p>
    <w:p w14:paraId="4D995CC5" w14:textId="10674798" w:rsidR="00254A44" w:rsidRPr="00BE305F" w:rsidRDefault="00254A44" w:rsidP="00611FC4">
      <w:pPr>
        <w:jc w:val="both"/>
        <w:rPr>
          <w:sz w:val="22"/>
          <w:szCs w:val="22"/>
          <w:lang w:val="en-GB"/>
        </w:rPr>
      </w:pPr>
    </w:p>
    <w:p w14:paraId="476E75DF" w14:textId="6C181099" w:rsidR="006C1B04" w:rsidRPr="007A5C5F" w:rsidRDefault="007226F8" w:rsidP="00D24919">
      <w:pPr>
        <w:pStyle w:val="Heading3"/>
        <w:jc w:val="center"/>
        <w:rPr>
          <w:rFonts w:ascii="Times New Roman" w:hAnsi="Times New Roman" w:cs="Times New Roman"/>
          <w:lang w:val="en-GB"/>
        </w:rPr>
      </w:pPr>
      <w:r w:rsidRPr="007A5C5F">
        <w:rPr>
          <w:rFonts w:ascii="Times New Roman" w:hAnsi="Times New Roman" w:cs="Times New Roman"/>
          <w:lang w:val="en-GB"/>
        </w:rPr>
        <w:t xml:space="preserve">Recommendation </w:t>
      </w:r>
      <w:r w:rsidR="000F687F">
        <w:rPr>
          <w:rFonts w:ascii="Times New Roman" w:hAnsi="Times New Roman" w:cs="Times New Roman"/>
          <w:lang w:val="en-GB"/>
        </w:rPr>
        <w:t>8</w:t>
      </w:r>
      <w:r w:rsidRPr="007A5C5F">
        <w:rPr>
          <w:rFonts w:ascii="Times New Roman" w:hAnsi="Times New Roman" w:cs="Times New Roman"/>
          <w:lang w:val="en-GB"/>
        </w:rPr>
        <w:t xml:space="preserve"> - </w:t>
      </w:r>
      <w:r w:rsidR="00254A44" w:rsidRPr="007A5C5F">
        <w:rPr>
          <w:rFonts w:ascii="Times New Roman" w:hAnsi="Times New Roman" w:cs="Times New Roman"/>
          <w:lang w:val="en-GB"/>
        </w:rPr>
        <w:t>Eu-added value</w:t>
      </w:r>
      <w:r w:rsidR="00611FC4" w:rsidRPr="007A5C5F">
        <w:rPr>
          <w:rFonts w:ascii="Times New Roman" w:hAnsi="Times New Roman" w:cs="Times New Roman"/>
          <w:lang w:val="en-GB"/>
        </w:rPr>
        <w:t xml:space="preserve">: </w:t>
      </w:r>
      <w:r w:rsidR="00254A44" w:rsidRPr="00BE305F">
        <w:rPr>
          <w:rFonts w:ascii="Times New Roman" w:hAnsi="Times New Roman" w:cs="Times New Roman"/>
          <w:lang w:val="en-GB"/>
        </w:rPr>
        <w:t>Enhance the EU’s Added Value in Future Justice Sector Interventions</w:t>
      </w:r>
      <w:r w:rsidR="00611FC4" w:rsidRPr="007A5C5F">
        <w:rPr>
          <w:rFonts w:ascii="Times New Roman" w:hAnsi="Times New Roman" w:cs="Times New Roman"/>
          <w:lang w:val="en-GB"/>
        </w:rPr>
        <w:t xml:space="preserve"> by introducing best EU </w:t>
      </w:r>
      <w:r w:rsidR="00C067E7" w:rsidRPr="007A5C5F">
        <w:rPr>
          <w:rFonts w:ascii="Times New Roman" w:hAnsi="Times New Roman" w:cs="Times New Roman"/>
          <w:lang w:val="en-GB"/>
        </w:rPr>
        <w:t>practices (</w:t>
      </w:r>
      <w:r w:rsidR="00C067E7" w:rsidRPr="00BE305F">
        <w:rPr>
          <w:rFonts w:ascii="Times New Roman" w:hAnsi="Times New Roman" w:cs="Times New Roman"/>
          <w:lang w:val="en-GB"/>
        </w:rPr>
        <w:t xml:space="preserve">Finding </w:t>
      </w:r>
      <w:r w:rsidR="00C067E7" w:rsidRPr="007A5C5F">
        <w:rPr>
          <w:rFonts w:ascii="Times New Roman" w:hAnsi="Times New Roman" w:cs="Times New Roman"/>
          <w:lang w:val="en-GB"/>
        </w:rPr>
        <w:t>1</w:t>
      </w:r>
      <w:r w:rsidR="00CA331C">
        <w:rPr>
          <w:rFonts w:ascii="Times New Roman" w:hAnsi="Times New Roman" w:cs="Times New Roman"/>
          <w:lang w:val="en-GB"/>
        </w:rPr>
        <w:t>4</w:t>
      </w:r>
      <w:r w:rsidR="00C067E7" w:rsidRPr="00BE305F">
        <w:rPr>
          <w:rFonts w:ascii="Times New Roman" w:hAnsi="Times New Roman" w:cs="Times New Roman"/>
          <w:lang w:val="en-GB"/>
        </w:rPr>
        <w:t>)</w:t>
      </w:r>
    </w:p>
    <w:p w14:paraId="79086E05" w14:textId="4F3AF7F2" w:rsidR="006C1B04" w:rsidRPr="007A5C5F" w:rsidRDefault="006C1B04" w:rsidP="006C1B04">
      <w:pPr>
        <w:rPr>
          <w:i/>
          <w:iCs/>
          <w:lang w:val="en-GB"/>
        </w:rPr>
      </w:pPr>
      <w:r w:rsidRPr="007A5C5F">
        <w:rPr>
          <w:i/>
          <w:iCs/>
          <w:lang w:val="en-GB"/>
        </w:rPr>
        <w:t>Responsible Entity: JURE Project Implementing Team and Ministry of Justice</w:t>
      </w:r>
      <w:r w:rsidRPr="007A5C5F">
        <w:rPr>
          <w:lang w:val="en-GB"/>
        </w:rPr>
        <w:br/>
      </w:r>
      <w:r w:rsidRPr="007A5C5F">
        <w:rPr>
          <w:i/>
          <w:iCs/>
          <w:lang w:val="en-GB"/>
        </w:rPr>
        <w:t>Priority Level: Medium to High</w:t>
      </w:r>
      <w:r w:rsidRPr="007A5C5F">
        <w:rPr>
          <w:lang w:val="en-GB"/>
        </w:rPr>
        <w:br/>
      </w:r>
      <w:r w:rsidRPr="007A5C5F">
        <w:rPr>
          <w:i/>
          <w:iCs/>
          <w:lang w:val="en-GB"/>
        </w:rPr>
        <w:t>Timeframe: Immediate to Long-term</w:t>
      </w:r>
    </w:p>
    <w:p w14:paraId="056B06D6" w14:textId="77777777" w:rsidR="006C1B04" w:rsidRPr="00BE305F" w:rsidRDefault="006C1B04" w:rsidP="006C1B04">
      <w:pPr>
        <w:rPr>
          <w:lang w:val="en-GB"/>
        </w:rPr>
      </w:pPr>
    </w:p>
    <w:p w14:paraId="51EC6A64" w14:textId="0045FDF3" w:rsidR="00254A44" w:rsidRPr="00BE305F" w:rsidRDefault="00254A44" w:rsidP="00C067E7">
      <w:pPr>
        <w:tabs>
          <w:tab w:val="num" w:pos="720"/>
        </w:tabs>
        <w:jc w:val="both"/>
        <w:rPr>
          <w:sz w:val="22"/>
          <w:szCs w:val="22"/>
          <w:lang w:val="en-GB"/>
        </w:rPr>
      </w:pPr>
      <w:r w:rsidRPr="00BE305F">
        <w:rPr>
          <w:rFonts w:eastAsia="AppleGothic"/>
          <w:b/>
          <w:bCs/>
          <w:sz w:val="22"/>
          <w:szCs w:val="22"/>
          <w:lang w:val="en-GB"/>
        </w:rPr>
        <w:t>1. Strengthen Integration of EU Best Practices in Justice Sector Reform</w:t>
      </w:r>
      <w:r w:rsidRPr="00BE305F">
        <w:rPr>
          <w:b/>
          <w:bCs/>
          <w:sz w:val="22"/>
          <w:szCs w:val="22"/>
          <w:lang w:val="en-GB"/>
        </w:rPr>
        <w:t xml:space="preserve"> </w:t>
      </w:r>
      <w:r w:rsidR="007A5C5F" w:rsidRPr="007A5C5F">
        <w:rPr>
          <w:sz w:val="22"/>
          <w:szCs w:val="22"/>
          <w:lang w:val="en-GB"/>
        </w:rPr>
        <w:t>Consider</w:t>
      </w:r>
      <w:r w:rsidR="00611FC4" w:rsidRPr="007A5C5F">
        <w:rPr>
          <w:sz w:val="22"/>
          <w:szCs w:val="22"/>
          <w:lang w:val="en-GB"/>
        </w:rPr>
        <w:t xml:space="preserve"> f</w:t>
      </w:r>
      <w:r w:rsidRPr="00BE305F">
        <w:rPr>
          <w:sz w:val="22"/>
          <w:szCs w:val="22"/>
          <w:lang w:val="en-GB"/>
        </w:rPr>
        <w:t>acilitat</w:t>
      </w:r>
      <w:r w:rsidR="00611FC4" w:rsidRPr="007A5C5F">
        <w:rPr>
          <w:sz w:val="22"/>
          <w:szCs w:val="22"/>
          <w:lang w:val="en-GB"/>
        </w:rPr>
        <w:t>ing</w:t>
      </w:r>
      <w:r w:rsidRPr="00BE305F">
        <w:rPr>
          <w:sz w:val="22"/>
          <w:szCs w:val="22"/>
          <w:lang w:val="en-GB"/>
        </w:rPr>
        <w:t xml:space="preserve"> </w:t>
      </w:r>
      <w:r w:rsidRPr="00BE305F">
        <w:rPr>
          <w:rFonts w:eastAsia="AppleGothic"/>
          <w:b/>
          <w:bCs/>
          <w:sz w:val="22"/>
          <w:szCs w:val="22"/>
          <w:lang w:val="en-GB"/>
        </w:rPr>
        <w:t xml:space="preserve">technical </w:t>
      </w:r>
      <w:r w:rsidR="00611FC4" w:rsidRPr="007A5C5F">
        <w:rPr>
          <w:rFonts w:eastAsia="AppleGothic"/>
          <w:b/>
          <w:bCs/>
          <w:sz w:val="22"/>
          <w:szCs w:val="22"/>
          <w:lang w:val="en-GB"/>
        </w:rPr>
        <w:t xml:space="preserve">bi-literal </w:t>
      </w:r>
      <w:r w:rsidRPr="00BE305F">
        <w:rPr>
          <w:rFonts w:eastAsia="AppleGothic"/>
          <w:b/>
          <w:bCs/>
          <w:sz w:val="22"/>
          <w:szCs w:val="22"/>
          <w:lang w:val="en-GB"/>
        </w:rPr>
        <w:t>exchanges with European institutions</w:t>
      </w:r>
      <w:r w:rsidRPr="00BE305F">
        <w:rPr>
          <w:sz w:val="22"/>
          <w:szCs w:val="22"/>
          <w:lang w:val="en-GB"/>
        </w:rPr>
        <w:t xml:space="preserve"> such as the </w:t>
      </w:r>
      <w:r w:rsidRPr="00BE305F">
        <w:rPr>
          <w:rFonts w:eastAsia="AppleGothic"/>
          <w:b/>
          <w:bCs/>
          <w:sz w:val="22"/>
          <w:szCs w:val="22"/>
          <w:lang w:val="en-GB"/>
        </w:rPr>
        <w:t>European Commission for the Efficiency of Justice (CEPEJ)</w:t>
      </w:r>
      <w:r w:rsidRPr="00BE305F">
        <w:rPr>
          <w:sz w:val="22"/>
          <w:szCs w:val="22"/>
          <w:lang w:val="en-GB"/>
        </w:rPr>
        <w:t xml:space="preserve"> to integrate EU best practices in </w:t>
      </w:r>
      <w:r w:rsidRPr="00BE305F">
        <w:rPr>
          <w:rFonts w:eastAsia="AppleGothic"/>
          <w:b/>
          <w:bCs/>
          <w:sz w:val="22"/>
          <w:szCs w:val="22"/>
          <w:lang w:val="en-GB"/>
        </w:rPr>
        <w:t xml:space="preserve">court efficiency, </w:t>
      </w:r>
      <w:r w:rsidR="007A5C5F" w:rsidRPr="00BE305F">
        <w:rPr>
          <w:rFonts w:eastAsia="AppleGothic"/>
          <w:b/>
          <w:bCs/>
          <w:sz w:val="22"/>
          <w:szCs w:val="22"/>
          <w:lang w:val="en-GB"/>
        </w:rPr>
        <w:t>case flow</w:t>
      </w:r>
      <w:r w:rsidRPr="00BE305F">
        <w:rPr>
          <w:rFonts w:eastAsia="AppleGothic"/>
          <w:b/>
          <w:bCs/>
          <w:sz w:val="22"/>
          <w:szCs w:val="22"/>
          <w:lang w:val="en-GB"/>
        </w:rPr>
        <w:t xml:space="preserve"> management, and judicial performance assessment</w:t>
      </w:r>
      <w:r w:rsidRPr="00BE305F">
        <w:rPr>
          <w:sz w:val="22"/>
          <w:szCs w:val="22"/>
          <w:lang w:val="en-GB"/>
        </w:rPr>
        <w:t>.</w:t>
      </w:r>
    </w:p>
    <w:p w14:paraId="75BA54B8" w14:textId="5E68BCA8" w:rsidR="00254A44" w:rsidRPr="00BE305F" w:rsidRDefault="007A5C5F" w:rsidP="00254A44">
      <w:pPr>
        <w:numPr>
          <w:ilvl w:val="0"/>
          <w:numId w:val="219"/>
        </w:numPr>
        <w:jc w:val="both"/>
        <w:rPr>
          <w:sz w:val="22"/>
          <w:szCs w:val="22"/>
          <w:lang w:val="en-GB"/>
        </w:rPr>
      </w:pPr>
      <w:r w:rsidRPr="007A5C5F">
        <w:rPr>
          <w:sz w:val="22"/>
          <w:szCs w:val="22"/>
          <w:lang w:val="en-GB"/>
        </w:rPr>
        <w:t>Consider</w:t>
      </w:r>
      <w:r w:rsidR="00611FC4" w:rsidRPr="007A5C5F">
        <w:rPr>
          <w:sz w:val="22"/>
          <w:szCs w:val="22"/>
          <w:lang w:val="en-GB"/>
        </w:rPr>
        <w:t xml:space="preserve"> i</w:t>
      </w:r>
      <w:r w:rsidR="00254A44" w:rsidRPr="00BE305F">
        <w:rPr>
          <w:sz w:val="22"/>
          <w:szCs w:val="22"/>
          <w:lang w:val="en-GB"/>
        </w:rPr>
        <w:t>ntroduc</w:t>
      </w:r>
      <w:r w:rsidR="00611FC4" w:rsidRPr="007A5C5F">
        <w:rPr>
          <w:sz w:val="22"/>
          <w:szCs w:val="22"/>
          <w:lang w:val="en-GB"/>
        </w:rPr>
        <w:t>ing</w:t>
      </w:r>
      <w:r w:rsidR="00254A44" w:rsidRPr="00BE305F">
        <w:rPr>
          <w:sz w:val="22"/>
          <w:szCs w:val="22"/>
          <w:lang w:val="en-GB"/>
        </w:rPr>
        <w:t xml:space="preserve"> </w:t>
      </w:r>
      <w:r w:rsidR="00254A44" w:rsidRPr="00BE305F">
        <w:rPr>
          <w:rFonts w:eastAsia="AppleGothic"/>
          <w:b/>
          <w:bCs/>
          <w:sz w:val="22"/>
          <w:szCs w:val="22"/>
          <w:lang w:val="en-GB"/>
        </w:rPr>
        <w:t>CEPEJ’s digital justice tools</w:t>
      </w:r>
      <w:r w:rsidR="00254A44" w:rsidRPr="00BE305F">
        <w:rPr>
          <w:sz w:val="22"/>
          <w:szCs w:val="22"/>
          <w:lang w:val="en-GB"/>
        </w:rPr>
        <w:t xml:space="preserve"> to support the ongoing modernization of Sri Lanka’s legal system, ensuring improved transparency, case resolution efficiency, and user-</w:t>
      </w:r>
      <w:r w:rsidRPr="00BE305F">
        <w:rPr>
          <w:sz w:val="22"/>
          <w:szCs w:val="22"/>
          <w:lang w:val="en-GB"/>
        </w:rPr>
        <w:t>centred</w:t>
      </w:r>
      <w:r w:rsidR="00254A44" w:rsidRPr="00BE305F">
        <w:rPr>
          <w:sz w:val="22"/>
          <w:szCs w:val="22"/>
          <w:lang w:val="en-GB"/>
        </w:rPr>
        <w:t xml:space="preserve"> legal services.</w:t>
      </w:r>
    </w:p>
    <w:p w14:paraId="0851013F" w14:textId="77777777" w:rsidR="00254A44" w:rsidRPr="00BE305F" w:rsidRDefault="00254A44" w:rsidP="00254A44">
      <w:pPr>
        <w:numPr>
          <w:ilvl w:val="0"/>
          <w:numId w:val="219"/>
        </w:numPr>
        <w:jc w:val="both"/>
        <w:rPr>
          <w:sz w:val="22"/>
          <w:szCs w:val="22"/>
          <w:lang w:val="en-GB"/>
        </w:rPr>
      </w:pPr>
      <w:r w:rsidRPr="00BE305F">
        <w:rPr>
          <w:sz w:val="22"/>
          <w:szCs w:val="22"/>
          <w:lang w:val="en-GB"/>
        </w:rPr>
        <w:t xml:space="preserve">Establish </w:t>
      </w:r>
      <w:r w:rsidRPr="00BE305F">
        <w:rPr>
          <w:rFonts w:eastAsia="AppleGothic"/>
          <w:b/>
          <w:bCs/>
          <w:sz w:val="22"/>
          <w:szCs w:val="22"/>
          <w:lang w:val="en-GB"/>
        </w:rPr>
        <w:t>structured learning partnerships between Sri Lanka’s Ministry of Justice and EU Member State justice institutions</w:t>
      </w:r>
      <w:r w:rsidRPr="00BE305F">
        <w:rPr>
          <w:sz w:val="22"/>
          <w:szCs w:val="22"/>
          <w:lang w:val="en-GB"/>
        </w:rPr>
        <w:t xml:space="preserve"> to enhance knowledge-sharing and policy alignment.</w:t>
      </w:r>
    </w:p>
    <w:p w14:paraId="26A97EAB" w14:textId="17BC1C36" w:rsidR="00254A44" w:rsidRPr="00BE305F" w:rsidRDefault="00254A44" w:rsidP="00254A44">
      <w:pPr>
        <w:jc w:val="both"/>
        <w:rPr>
          <w:b/>
          <w:bCs/>
          <w:sz w:val="22"/>
          <w:szCs w:val="22"/>
          <w:lang w:val="en-GB"/>
        </w:rPr>
      </w:pPr>
      <w:r w:rsidRPr="00BE305F">
        <w:rPr>
          <w:rFonts w:eastAsia="AppleGothic"/>
          <w:b/>
          <w:bCs/>
          <w:sz w:val="22"/>
          <w:szCs w:val="22"/>
          <w:lang w:val="en-GB"/>
        </w:rPr>
        <w:t>2. Expand EU-Sri Lanka Academic and Professional Linkages</w:t>
      </w:r>
      <w:r w:rsidRPr="00BE305F">
        <w:rPr>
          <w:b/>
          <w:bCs/>
          <w:sz w:val="22"/>
          <w:szCs w:val="22"/>
          <w:lang w:val="en-GB"/>
        </w:rPr>
        <w:t xml:space="preserve"> </w:t>
      </w:r>
    </w:p>
    <w:p w14:paraId="4F6D231D" w14:textId="77777777" w:rsidR="00254A44" w:rsidRPr="00BE305F" w:rsidRDefault="00254A44" w:rsidP="00254A44">
      <w:pPr>
        <w:numPr>
          <w:ilvl w:val="0"/>
          <w:numId w:val="220"/>
        </w:numPr>
        <w:jc w:val="both"/>
        <w:rPr>
          <w:sz w:val="22"/>
          <w:szCs w:val="22"/>
          <w:lang w:val="en-GB"/>
        </w:rPr>
      </w:pPr>
      <w:r w:rsidRPr="00BE305F">
        <w:rPr>
          <w:sz w:val="22"/>
          <w:szCs w:val="22"/>
          <w:lang w:val="en-GB"/>
        </w:rPr>
        <w:t xml:space="preserve">Strengthen partnerships between Sri Lankan law schools and </w:t>
      </w:r>
      <w:r w:rsidRPr="00BE305F">
        <w:rPr>
          <w:rFonts w:eastAsia="AppleGothic"/>
          <w:b/>
          <w:bCs/>
          <w:sz w:val="22"/>
          <w:szCs w:val="22"/>
          <w:lang w:val="en-GB"/>
        </w:rPr>
        <w:t>leading European universities</w:t>
      </w:r>
      <w:r w:rsidRPr="00BE305F">
        <w:rPr>
          <w:sz w:val="22"/>
          <w:szCs w:val="22"/>
          <w:lang w:val="en-GB"/>
        </w:rPr>
        <w:t xml:space="preserve"> to enhance the credibility and international recognition of programs such as the </w:t>
      </w:r>
      <w:r w:rsidRPr="00BE305F">
        <w:rPr>
          <w:rFonts w:eastAsia="AppleGothic"/>
          <w:b/>
          <w:bCs/>
          <w:sz w:val="22"/>
          <w:szCs w:val="22"/>
          <w:lang w:val="en-GB"/>
        </w:rPr>
        <w:t>LLM in Environmental Law</w:t>
      </w:r>
      <w:r w:rsidRPr="00BE305F">
        <w:rPr>
          <w:sz w:val="22"/>
          <w:szCs w:val="22"/>
          <w:lang w:val="en-GB"/>
        </w:rPr>
        <w:t>.</w:t>
      </w:r>
    </w:p>
    <w:p w14:paraId="28E8E3D5" w14:textId="77777777" w:rsidR="00254A44" w:rsidRPr="00BE305F" w:rsidRDefault="00254A44" w:rsidP="00254A44">
      <w:pPr>
        <w:numPr>
          <w:ilvl w:val="0"/>
          <w:numId w:val="220"/>
        </w:numPr>
        <w:jc w:val="both"/>
        <w:rPr>
          <w:sz w:val="22"/>
          <w:szCs w:val="22"/>
          <w:lang w:val="en-GB"/>
        </w:rPr>
      </w:pPr>
      <w:r w:rsidRPr="00BE305F">
        <w:rPr>
          <w:sz w:val="22"/>
          <w:szCs w:val="22"/>
          <w:lang w:val="en-GB"/>
        </w:rPr>
        <w:t xml:space="preserve">Facilitate </w:t>
      </w:r>
      <w:r w:rsidRPr="00BE305F">
        <w:rPr>
          <w:rFonts w:eastAsia="AppleGothic"/>
          <w:b/>
          <w:bCs/>
          <w:sz w:val="22"/>
          <w:szCs w:val="22"/>
          <w:lang w:val="en-GB"/>
        </w:rPr>
        <w:t>EU-funded scholarships and academic exchanges</w:t>
      </w:r>
      <w:r w:rsidRPr="00BE305F">
        <w:rPr>
          <w:sz w:val="22"/>
          <w:szCs w:val="22"/>
          <w:lang w:val="en-GB"/>
        </w:rPr>
        <w:t xml:space="preserve"> for Sri Lankan legal professionals and students to </w:t>
      </w:r>
      <w:r w:rsidRPr="00BE305F">
        <w:rPr>
          <w:rFonts w:eastAsia="AppleGothic"/>
          <w:b/>
          <w:bCs/>
          <w:sz w:val="22"/>
          <w:szCs w:val="22"/>
          <w:lang w:val="en-GB"/>
        </w:rPr>
        <w:t>study EU legal frameworks and best practices</w:t>
      </w:r>
      <w:r w:rsidRPr="00BE305F">
        <w:rPr>
          <w:sz w:val="22"/>
          <w:szCs w:val="22"/>
          <w:lang w:val="en-GB"/>
        </w:rPr>
        <w:t xml:space="preserve"> in access to justice, human rights, and judicial governance.</w:t>
      </w:r>
    </w:p>
    <w:p w14:paraId="0979231F" w14:textId="77777777" w:rsidR="00254A44" w:rsidRPr="00BE305F" w:rsidRDefault="00254A44" w:rsidP="00254A44">
      <w:pPr>
        <w:numPr>
          <w:ilvl w:val="0"/>
          <w:numId w:val="220"/>
        </w:numPr>
        <w:jc w:val="both"/>
        <w:rPr>
          <w:sz w:val="22"/>
          <w:szCs w:val="22"/>
          <w:lang w:val="en-GB"/>
        </w:rPr>
      </w:pPr>
      <w:r w:rsidRPr="00BE305F">
        <w:rPr>
          <w:sz w:val="22"/>
          <w:szCs w:val="22"/>
          <w:lang w:val="en-GB"/>
        </w:rPr>
        <w:t xml:space="preserve">Explore </w:t>
      </w:r>
      <w:r w:rsidRPr="00BE305F">
        <w:rPr>
          <w:rFonts w:eastAsia="AppleGothic"/>
          <w:b/>
          <w:bCs/>
          <w:sz w:val="22"/>
          <w:szCs w:val="22"/>
          <w:lang w:val="en-GB"/>
        </w:rPr>
        <w:t>dual accreditation opportunities</w:t>
      </w:r>
      <w:r w:rsidRPr="00BE305F">
        <w:rPr>
          <w:sz w:val="22"/>
          <w:szCs w:val="22"/>
          <w:lang w:val="en-GB"/>
        </w:rPr>
        <w:t xml:space="preserve"> with European institutions to ensure Sri Lankan graduates benefit from international recognition and career pathways.</w:t>
      </w:r>
    </w:p>
    <w:p w14:paraId="07450D58" w14:textId="1BA004F2" w:rsidR="00254A44" w:rsidRPr="00BE305F" w:rsidRDefault="00254A44" w:rsidP="00254A44">
      <w:pPr>
        <w:jc w:val="both"/>
        <w:rPr>
          <w:b/>
          <w:bCs/>
          <w:sz w:val="22"/>
          <w:szCs w:val="22"/>
          <w:lang w:val="en-GB"/>
        </w:rPr>
      </w:pPr>
      <w:r w:rsidRPr="00BE305F">
        <w:rPr>
          <w:rFonts w:eastAsia="AppleGothic"/>
          <w:b/>
          <w:bCs/>
          <w:sz w:val="22"/>
          <w:szCs w:val="22"/>
          <w:lang w:val="en-GB"/>
        </w:rPr>
        <w:t>3. Fully Align Project Indicators with EU Gender Action Plan III (GAP III)</w:t>
      </w:r>
      <w:r w:rsidRPr="00BE305F">
        <w:rPr>
          <w:b/>
          <w:bCs/>
          <w:sz w:val="22"/>
          <w:szCs w:val="22"/>
          <w:lang w:val="en-GB"/>
        </w:rPr>
        <w:t xml:space="preserve"> </w:t>
      </w:r>
    </w:p>
    <w:p w14:paraId="7F1D9B78" w14:textId="55DA4866" w:rsidR="00254A44" w:rsidRPr="00BE305F" w:rsidRDefault="007A5C5F" w:rsidP="00254A44">
      <w:pPr>
        <w:numPr>
          <w:ilvl w:val="0"/>
          <w:numId w:val="221"/>
        </w:numPr>
        <w:jc w:val="both"/>
        <w:rPr>
          <w:sz w:val="22"/>
          <w:szCs w:val="22"/>
          <w:lang w:val="en-GB"/>
        </w:rPr>
      </w:pPr>
      <w:r w:rsidRPr="007A5C5F">
        <w:rPr>
          <w:sz w:val="22"/>
          <w:szCs w:val="22"/>
          <w:lang w:val="en-GB"/>
        </w:rPr>
        <w:lastRenderedPageBreak/>
        <w:t>Consider</w:t>
      </w:r>
      <w:r w:rsidR="000D03F2" w:rsidRPr="007A5C5F">
        <w:rPr>
          <w:sz w:val="22"/>
          <w:szCs w:val="22"/>
          <w:lang w:val="en-GB"/>
        </w:rPr>
        <w:t xml:space="preserve"> i</w:t>
      </w:r>
      <w:r w:rsidR="00254A44" w:rsidRPr="00BE305F">
        <w:rPr>
          <w:sz w:val="22"/>
          <w:szCs w:val="22"/>
          <w:lang w:val="en-GB"/>
        </w:rPr>
        <w:t>ntegrat</w:t>
      </w:r>
      <w:r w:rsidR="000D03F2" w:rsidRPr="007A5C5F">
        <w:rPr>
          <w:sz w:val="22"/>
          <w:szCs w:val="22"/>
          <w:lang w:val="en-GB"/>
        </w:rPr>
        <w:t>ing</w:t>
      </w:r>
      <w:r w:rsidR="00254A44" w:rsidRPr="00BE305F">
        <w:rPr>
          <w:sz w:val="22"/>
          <w:szCs w:val="22"/>
          <w:lang w:val="en-GB"/>
        </w:rPr>
        <w:t xml:space="preserve"> </w:t>
      </w:r>
      <w:r w:rsidR="00254A44" w:rsidRPr="00BE305F">
        <w:rPr>
          <w:rFonts w:eastAsia="AppleGothic"/>
          <w:b/>
          <w:bCs/>
          <w:sz w:val="22"/>
          <w:szCs w:val="22"/>
          <w:lang w:val="en-GB"/>
        </w:rPr>
        <w:t>missing EU GAP III indicators</w:t>
      </w:r>
      <w:r w:rsidR="00254A44" w:rsidRPr="00BE305F">
        <w:rPr>
          <w:sz w:val="22"/>
          <w:szCs w:val="22"/>
          <w:lang w:val="en-GB"/>
        </w:rPr>
        <w:t xml:space="preserve"> into the JURE Project’s monitoring framework, including:</w:t>
      </w:r>
    </w:p>
    <w:p w14:paraId="2DE234C5" w14:textId="77777777" w:rsidR="00254A44" w:rsidRPr="00BE305F" w:rsidRDefault="00254A44" w:rsidP="000D03F2">
      <w:pPr>
        <w:numPr>
          <w:ilvl w:val="1"/>
          <w:numId w:val="247"/>
        </w:numPr>
        <w:jc w:val="both"/>
        <w:rPr>
          <w:sz w:val="22"/>
          <w:szCs w:val="22"/>
          <w:lang w:val="en-GB"/>
        </w:rPr>
      </w:pPr>
      <w:r w:rsidRPr="00BE305F">
        <w:rPr>
          <w:rFonts w:eastAsia="AppleGothic"/>
          <w:b/>
          <w:bCs/>
          <w:sz w:val="22"/>
          <w:szCs w:val="22"/>
          <w:lang w:val="en-GB"/>
        </w:rPr>
        <w:t>Percentage of GBV cases investigated and sentenced</w:t>
      </w:r>
      <w:r w:rsidRPr="00BE305F">
        <w:rPr>
          <w:sz w:val="22"/>
          <w:szCs w:val="22"/>
          <w:lang w:val="en-GB"/>
        </w:rPr>
        <w:t>.</w:t>
      </w:r>
    </w:p>
    <w:p w14:paraId="5A0F2BE0" w14:textId="77777777" w:rsidR="00254A44" w:rsidRPr="00BE305F" w:rsidRDefault="00254A44" w:rsidP="000D03F2">
      <w:pPr>
        <w:numPr>
          <w:ilvl w:val="1"/>
          <w:numId w:val="247"/>
        </w:numPr>
        <w:jc w:val="both"/>
        <w:rPr>
          <w:sz w:val="22"/>
          <w:szCs w:val="22"/>
          <w:lang w:val="en-GB"/>
        </w:rPr>
      </w:pPr>
      <w:r w:rsidRPr="00BE305F">
        <w:rPr>
          <w:rFonts w:eastAsia="AppleGothic"/>
          <w:b/>
          <w:bCs/>
          <w:sz w:val="22"/>
          <w:szCs w:val="22"/>
          <w:lang w:val="en-GB"/>
        </w:rPr>
        <w:t>Extent of state resource allocation for gender-based violence prevention and response</w:t>
      </w:r>
      <w:r w:rsidRPr="00BE305F">
        <w:rPr>
          <w:sz w:val="22"/>
          <w:szCs w:val="22"/>
          <w:lang w:val="en-GB"/>
        </w:rPr>
        <w:t>.</w:t>
      </w:r>
    </w:p>
    <w:p w14:paraId="13132711" w14:textId="77777777" w:rsidR="00254A44" w:rsidRPr="00BE305F" w:rsidRDefault="00254A44" w:rsidP="000D03F2">
      <w:pPr>
        <w:numPr>
          <w:ilvl w:val="1"/>
          <w:numId w:val="247"/>
        </w:numPr>
        <w:jc w:val="both"/>
        <w:rPr>
          <w:sz w:val="22"/>
          <w:szCs w:val="22"/>
          <w:lang w:val="en-GB"/>
        </w:rPr>
      </w:pPr>
      <w:r w:rsidRPr="00BE305F">
        <w:rPr>
          <w:rFonts w:eastAsia="AppleGothic"/>
          <w:b/>
          <w:bCs/>
          <w:sz w:val="22"/>
          <w:szCs w:val="22"/>
          <w:lang w:val="en-GB"/>
        </w:rPr>
        <w:t>Access to justice for women facing multiple forms of discrimination</w:t>
      </w:r>
      <w:r w:rsidRPr="00BE305F">
        <w:rPr>
          <w:sz w:val="22"/>
          <w:szCs w:val="22"/>
          <w:lang w:val="en-GB"/>
        </w:rPr>
        <w:t xml:space="preserve"> (including disability, ethnicity, and socio-economic barriers).</w:t>
      </w:r>
    </w:p>
    <w:p w14:paraId="17BA0C51" w14:textId="4B701D15" w:rsidR="00254A44" w:rsidRPr="00BE305F" w:rsidRDefault="00254A44" w:rsidP="00254A44">
      <w:pPr>
        <w:jc w:val="both"/>
        <w:rPr>
          <w:b/>
          <w:bCs/>
          <w:sz w:val="22"/>
          <w:szCs w:val="22"/>
          <w:lang w:val="en-GB"/>
        </w:rPr>
      </w:pPr>
      <w:r w:rsidRPr="00BE305F">
        <w:rPr>
          <w:rFonts w:eastAsia="AppleGothic"/>
          <w:b/>
          <w:bCs/>
          <w:sz w:val="22"/>
          <w:szCs w:val="22"/>
          <w:lang w:val="en-GB"/>
        </w:rPr>
        <w:t>5. Increase Visibility and Recognition of EU Support in Justice Reforms</w:t>
      </w:r>
      <w:r w:rsidRPr="00BE305F">
        <w:rPr>
          <w:b/>
          <w:bCs/>
          <w:sz w:val="22"/>
          <w:szCs w:val="22"/>
          <w:lang w:val="en-GB"/>
        </w:rPr>
        <w:t xml:space="preserve"> </w:t>
      </w:r>
    </w:p>
    <w:p w14:paraId="5777312D" w14:textId="77777777" w:rsidR="00254A44" w:rsidRPr="00BE305F" w:rsidRDefault="00254A44" w:rsidP="00254A44">
      <w:pPr>
        <w:numPr>
          <w:ilvl w:val="0"/>
          <w:numId w:val="223"/>
        </w:numPr>
        <w:jc w:val="both"/>
        <w:rPr>
          <w:sz w:val="22"/>
          <w:szCs w:val="22"/>
          <w:lang w:val="en-GB"/>
        </w:rPr>
      </w:pPr>
      <w:r w:rsidRPr="00BE305F">
        <w:rPr>
          <w:sz w:val="22"/>
          <w:szCs w:val="22"/>
          <w:lang w:val="en-GB"/>
        </w:rPr>
        <w:t xml:space="preserve">Enhance </w:t>
      </w:r>
      <w:r w:rsidRPr="00BE305F">
        <w:rPr>
          <w:rFonts w:eastAsia="AppleGothic"/>
          <w:b/>
          <w:bCs/>
          <w:sz w:val="22"/>
          <w:szCs w:val="22"/>
          <w:lang w:val="en-GB"/>
        </w:rPr>
        <w:t>EU branding and visibility</w:t>
      </w:r>
      <w:r w:rsidRPr="00BE305F">
        <w:rPr>
          <w:sz w:val="22"/>
          <w:szCs w:val="22"/>
          <w:lang w:val="en-GB"/>
        </w:rPr>
        <w:t xml:space="preserve"> in all JURE-supported legal infrastructure projects, digital platforms, and institutional reforms to reinforce the EU’s role as a </w:t>
      </w:r>
      <w:r w:rsidRPr="00BE305F">
        <w:rPr>
          <w:rFonts w:eastAsia="AppleGothic"/>
          <w:b/>
          <w:bCs/>
          <w:sz w:val="22"/>
          <w:szCs w:val="22"/>
          <w:lang w:val="en-GB"/>
        </w:rPr>
        <w:t>leader in justice sector transformation</w:t>
      </w:r>
      <w:r w:rsidRPr="00BE305F">
        <w:rPr>
          <w:sz w:val="22"/>
          <w:szCs w:val="22"/>
          <w:lang w:val="en-GB"/>
        </w:rPr>
        <w:t>.</w:t>
      </w:r>
    </w:p>
    <w:p w14:paraId="18058BC3" w14:textId="77777777" w:rsidR="00254A44" w:rsidRPr="00BE305F" w:rsidRDefault="00254A44" w:rsidP="00254A44">
      <w:pPr>
        <w:numPr>
          <w:ilvl w:val="0"/>
          <w:numId w:val="223"/>
        </w:numPr>
        <w:jc w:val="both"/>
        <w:rPr>
          <w:sz w:val="22"/>
          <w:szCs w:val="22"/>
          <w:lang w:val="en-GB"/>
        </w:rPr>
      </w:pPr>
      <w:r w:rsidRPr="00BE305F">
        <w:rPr>
          <w:sz w:val="22"/>
          <w:szCs w:val="22"/>
          <w:lang w:val="en-GB"/>
        </w:rPr>
        <w:t xml:space="preserve">Promote </w:t>
      </w:r>
      <w:r w:rsidRPr="00BE305F">
        <w:rPr>
          <w:rFonts w:eastAsia="AppleGothic"/>
          <w:b/>
          <w:bCs/>
          <w:sz w:val="22"/>
          <w:szCs w:val="22"/>
          <w:lang w:val="en-GB"/>
        </w:rPr>
        <w:t>EU-led knowledge-sharing initiatives</w:t>
      </w:r>
      <w:r w:rsidRPr="00BE305F">
        <w:rPr>
          <w:sz w:val="22"/>
          <w:szCs w:val="22"/>
          <w:lang w:val="en-GB"/>
        </w:rPr>
        <w:t xml:space="preserve"> showcasing the impact of JURE’s reforms, particularly in </w:t>
      </w:r>
      <w:r w:rsidRPr="00BE305F">
        <w:rPr>
          <w:rFonts w:eastAsia="AppleGothic"/>
          <w:b/>
          <w:bCs/>
          <w:sz w:val="22"/>
          <w:szCs w:val="22"/>
          <w:lang w:val="en-GB"/>
        </w:rPr>
        <w:t>anti-corruption, gender justice, and environmental law</w:t>
      </w:r>
      <w:r w:rsidRPr="00BE305F">
        <w:rPr>
          <w:sz w:val="22"/>
          <w:szCs w:val="22"/>
          <w:lang w:val="en-GB"/>
        </w:rPr>
        <w:t>, to strengthen EU influence in Sri Lanka’s governance and legal landscape.</w:t>
      </w:r>
    </w:p>
    <w:p w14:paraId="5501121A" w14:textId="77777777" w:rsidR="00254A44" w:rsidRPr="007A5C5F" w:rsidRDefault="00254A44" w:rsidP="003724A8">
      <w:pPr>
        <w:rPr>
          <w:lang w:val="en-GB"/>
        </w:rPr>
      </w:pPr>
    </w:p>
    <w:p w14:paraId="257F6ABA" w14:textId="77777777" w:rsidR="00611FC4" w:rsidRPr="007A5C5F" w:rsidRDefault="00611FC4" w:rsidP="003724A8">
      <w:pPr>
        <w:rPr>
          <w:lang w:val="en-GB"/>
        </w:rPr>
      </w:pPr>
    </w:p>
    <w:p w14:paraId="65808F41" w14:textId="77777777" w:rsidR="00611FC4" w:rsidRPr="007A5C5F" w:rsidRDefault="00611FC4" w:rsidP="003724A8">
      <w:pPr>
        <w:rPr>
          <w:lang w:val="en-GB"/>
        </w:rPr>
        <w:sectPr w:rsidR="00611FC4" w:rsidRPr="007A5C5F" w:rsidSect="00C26EF8">
          <w:pgSz w:w="11894" w:h="16834"/>
          <w:pgMar w:top="1440" w:right="1152" w:bottom="1152" w:left="1152" w:header="706" w:footer="706" w:gutter="0"/>
          <w:cols w:space="708"/>
          <w:titlePg/>
          <w:docGrid w:linePitch="360"/>
        </w:sectPr>
      </w:pPr>
    </w:p>
    <w:p w14:paraId="43536960" w14:textId="65DB6EF9" w:rsidR="003724A8" w:rsidRPr="007A5C5F" w:rsidRDefault="003724A8" w:rsidP="009C2EF1">
      <w:pPr>
        <w:pStyle w:val="Heading1"/>
        <w:jc w:val="center"/>
        <w:rPr>
          <w:rFonts w:ascii="Times New Roman" w:hAnsi="Times New Roman" w:cs="Times New Roman"/>
          <w:lang w:val="en-GB"/>
        </w:rPr>
      </w:pPr>
      <w:bookmarkStart w:id="30" w:name="_Toc188348269"/>
      <w:r w:rsidRPr="007A5C5F">
        <w:rPr>
          <w:rFonts w:ascii="Times New Roman" w:hAnsi="Times New Roman" w:cs="Times New Roman"/>
          <w:lang w:val="en-GB"/>
        </w:rPr>
        <w:lastRenderedPageBreak/>
        <w:t>V. LESSONS LEARNED AND GOOD PRACTICES</w:t>
      </w:r>
      <w:bookmarkEnd w:id="30"/>
    </w:p>
    <w:p w14:paraId="497B5E2F" w14:textId="59F81D2D" w:rsidR="003724A8" w:rsidRPr="007A5C5F" w:rsidRDefault="003724A8" w:rsidP="001277A7">
      <w:pPr>
        <w:rPr>
          <w:color w:val="C45911" w:themeColor="accent2" w:themeShade="BF"/>
          <w:lang w:val="en-GB"/>
        </w:rPr>
      </w:pPr>
      <w:r w:rsidRPr="007A5C5F">
        <w:rPr>
          <w:color w:val="C45911" w:themeColor="accent2" w:themeShade="BF"/>
          <w:lang w:val="en-GB"/>
        </w:rPr>
        <w:t>LESSONS LEARNED</w:t>
      </w:r>
    </w:p>
    <w:p w14:paraId="6724A43D" w14:textId="460BECA7" w:rsidR="007226F8" w:rsidRPr="007A5C5F" w:rsidRDefault="00D55883" w:rsidP="00D55883">
      <w:pPr>
        <w:jc w:val="both"/>
        <w:rPr>
          <w:sz w:val="22"/>
          <w:szCs w:val="22"/>
          <w:lang w:val="en-GB"/>
        </w:rPr>
      </w:pPr>
      <w:r w:rsidRPr="007A5C5F">
        <w:rPr>
          <w:sz w:val="22"/>
          <w:szCs w:val="22"/>
          <w:lang w:val="en-GB"/>
        </w:rPr>
        <w:t>The evaluation reveals that while the current implementation of strategies in Sri Lanka’s justice system is generally adequate and incorporates</w:t>
      </w:r>
      <w:r w:rsidR="00597CD7">
        <w:rPr>
          <w:sz w:val="22"/>
          <w:szCs w:val="22"/>
          <w:lang w:val="en-GB"/>
        </w:rPr>
        <w:t>,</w:t>
      </w:r>
      <w:r w:rsidRPr="007A5C5F">
        <w:rPr>
          <w:sz w:val="22"/>
          <w:szCs w:val="22"/>
          <w:lang w:val="en-GB"/>
        </w:rPr>
        <w:t xml:space="preserve"> </w:t>
      </w:r>
      <w:r w:rsidR="007226F8" w:rsidRPr="007A5C5F">
        <w:rPr>
          <w:sz w:val="22"/>
          <w:szCs w:val="22"/>
          <w:lang w:val="en-GB"/>
        </w:rPr>
        <w:t xml:space="preserve">to some </w:t>
      </w:r>
      <w:r w:rsidR="00EC57B7" w:rsidRPr="007A5C5F">
        <w:rPr>
          <w:sz w:val="22"/>
          <w:szCs w:val="22"/>
          <w:lang w:val="en-GB"/>
        </w:rPr>
        <w:t>extent</w:t>
      </w:r>
      <w:r w:rsidR="00597CD7">
        <w:rPr>
          <w:sz w:val="22"/>
          <w:szCs w:val="22"/>
          <w:lang w:val="en-GB"/>
        </w:rPr>
        <w:t>,</w:t>
      </w:r>
      <w:r w:rsidR="007226F8" w:rsidRPr="007A5C5F">
        <w:rPr>
          <w:sz w:val="22"/>
          <w:szCs w:val="22"/>
          <w:lang w:val="en-GB"/>
        </w:rPr>
        <w:t xml:space="preserve"> </w:t>
      </w:r>
      <w:r w:rsidRPr="007A5C5F">
        <w:rPr>
          <w:sz w:val="22"/>
          <w:szCs w:val="22"/>
          <w:lang w:val="en-GB"/>
        </w:rPr>
        <w:t>lessons learned, it falls short in addressing systemic root causes, particularly regarding the persistent backlog of cases.</w:t>
      </w:r>
      <w:r w:rsidR="007226F8" w:rsidRPr="007A5C5F">
        <w:rPr>
          <w:sz w:val="22"/>
          <w:szCs w:val="22"/>
          <w:lang w:val="en-GB"/>
        </w:rPr>
        <w:t xml:space="preserve"> </w:t>
      </w:r>
    </w:p>
    <w:p w14:paraId="7D028527" w14:textId="5669BC80" w:rsidR="00C067E7" w:rsidRPr="007A5C5F" w:rsidRDefault="00C067E7" w:rsidP="00D55883">
      <w:pPr>
        <w:jc w:val="both"/>
        <w:rPr>
          <w:sz w:val="22"/>
          <w:szCs w:val="22"/>
          <w:lang w:val="en-GB"/>
        </w:rPr>
      </w:pPr>
      <w:r w:rsidRPr="007A5C5F">
        <w:rPr>
          <w:sz w:val="22"/>
          <w:szCs w:val="22"/>
          <w:lang w:val="en-GB"/>
        </w:rPr>
        <w:t>The evaluation found evidence of extensive support for access to justice in Sri Lanka’s justice system, including efforts to reduce the backlog and advance digital transformation. However, it did not identify any evidence-based study explaining why decades of support from development partners in these areas have not led to sustainable success.</w:t>
      </w:r>
    </w:p>
    <w:p w14:paraId="1ECCCB2D" w14:textId="54E020EB" w:rsidR="007226F8" w:rsidRPr="007A5C5F" w:rsidRDefault="00D55883" w:rsidP="00D55883">
      <w:pPr>
        <w:jc w:val="both"/>
        <w:rPr>
          <w:sz w:val="22"/>
          <w:szCs w:val="22"/>
          <w:lang w:val="en-GB"/>
        </w:rPr>
      </w:pPr>
      <w:r w:rsidRPr="007A5C5F">
        <w:rPr>
          <w:sz w:val="22"/>
          <w:szCs w:val="22"/>
          <w:lang w:val="en-GB"/>
        </w:rPr>
        <w:t xml:space="preserve">These backlogs, spanning investigations, judicial proceedings, sentencing, and sentence serving, reflect deep-seated inefficiencies that require more than temporary solutions. Although the project may succeed in reducing some backlogs within its lifetime, there is no clear long-term strategy to prevent such accumulation from recurring. </w:t>
      </w:r>
    </w:p>
    <w:p w14:paraId="4D1D0956" w14:textId="03BDAE1A" w:rsidR="003724A8" w:rsidRPr="007A5C5F" w:rsidRDefault="00D55883" w:rsidP="00D55883">
      <w:pPr>
        <w:jc w:val="both"/>
        <w:rPr>
          <w:sz w:val="22"/>
          <w:szCs w:val="22"/>
          <w:lang w:val="en-GB"/>
        </w:rPr>
      </w:pPr>
      <w:r w:rsidRPr="007A5C5F">
        <w:rPr>
          <w:sz w:val="22"/>
          <w:szCs w:val="22"/>
          <w:lang w:val="en-GB"/>
        </w:rPr>
        <w:t>The absence of a preventive framework risks undoing progress after the project's conclusion. A sustainable solution demands a comprehensive, systemic reform approach that combines capacity building, process optimization, enhanced accountability mechanisms, and long-term financial and technical support to ensure the justice system’s resilience and efficiency.</w:t>
      </w:r>
    </w:p>
    <w:p w14:paraId="6DFBFC89" w14:textId="77777777" w:rsidR="003724A8" w:rsidRPr="007A5C5F" w:rsidRDefault="003724A8" w:rsidP="003724A8">
      <w:pPr>
        <w:rPr>
          <w:lang w:val="en-GB"/>
        </w:rPr>
      </w:pPr>
    </w:p>
    <w:p w14:paraId="63E47DF2" w14:textId="4CB4DD3C" w:rsidR="00D47607" w:rsidRPr="007A5C5F" w:rsidRDefault="003724A8" w:rsidP="001277A7">
      <w:pPr>
        <w:rPr>
          <w:color w:val="C45911" w:themeColor="accent2" w:themeShade="BF"/>
          <w:lang w:val="en-GB"/>
        </w:rPr>
      </w:pPr>
      <w:r w:rsidRPr="007A5C5F">
        <w:rPr>
          <w:color w:val="C45911" w:themeColor="accent2" w:themeShade="BF"/>
          <w:lang w:val="en-GB"/>
        </w:rPr>
        <w:t>GOOD PRACTICES</w:t>
      </w:r>
    </w:p>
    <w:p w14:paraId="01A44CAC" w14:textId="3075AED8" w:rsidR="009349DB" w:rsidRPr="007A5C5F" w:rsidRDefault="00A62EBA" w:rsidP="007226F8">
      <w:pPr>
        <w:jc w:val="both"/>
        <w:rPr>
          <w:sz w:val="22"/>
          <w:szCs w:val="22"/>
          <w:lang w:val="en-GB"/>
        </w:rPr>
      </w:pPr>
      <w:r w:rsidRPr="007A5C5F">
        <w:rPr>
          <w:sz w:val="22"/>
          <w:szCs w:val="22"/>
          <w:lang w:val="en-GB"/>
        </w:rPr>
        <w:t xml:space="preserve">By addressing legislative gaps, fostering family-based care, and advancing restorative approaches, the </w:t>
      </w:r>
      <w:r w:rsidR="007226F8" w:rsidRPr="007A5C5F">
        <w:rPr>
          <w:sz w:val="22"/>
          <w:szCs w:val="22"/>
          <w:lang w:val="en-GB"/>
        </w:rPr>
        <w:t>JURE</w:t>
      </w:r>
      <w:r w:rsidRPr="007A5C5F">
        <w:rPr>
          <w:sz w:val="22"/>
          <w:szCs w:val="22"/>
          <w:lang w:val="en-GB"/>
        </w:rPr>
        <w:t xml:space="preserve"> has strengthened protections for children while enhancing their prospects for reintegration. </w:t>
      </w:r>
      <w:r w:rsidR="007226F8" w:rsidRPr="007A5C5F">
        <w:rPr>
          <w:sz w:val="22"/>
          <w:szCs w:val="22"/>
          <w:lang w:val="en-GB"/>
        </w:rPr>
        <w:t xml:space="preserve">The </w:t>
      </w:r>
      <w:r w:rsidRPr="00A62EBA">
        <w:rPr>
          <w:sz w:val="22"/>
          <w:szCs w:val="22"/>
          <w:lang w:val="en-GB"/>
        </w:rPr>
        <w:t>Department of Probation and Childcare Service's interventions with the support of JURE have led to: </w:t>
      </w:r>
    </w:p>
    <w:p w14:paraId="171E23F9" w14:textId="77777777" w:rsidR="00190F2C" w:rsidRPr="00190F2C" w:rsidRDefault="00190F2C" w:rsidP="007226F8">
      <w:pPr>
        <w:numPr>
          <w:ilvl w:val="0"/>
          <w:numId w:val="102"/>
        </w:numPr>
        <w:jc w:val="both"/>
        <w:rPr>
          <w:sz w:val="22"/>
          <w:szCs w:val="22"/>
          <w:lang w:val="en-GB"/>
        </w:rPr>
      </w:pPr>
      <w:r w:rsidRPr="00190F2C">
        <w:rPr>
          <w:b/>
          <w:bCs/>
          <w:sz w:val="22"/>
          <w:szCs w:val="22"/>
          <w:lang w:val="en-GB"/>
        </w:rPr>
        <w:t>Increased Age Limit for Imprisonment:</w:t>
      </w:r>
      <w:r w:rsidRPr="00190F2C">
        <w:rPr>
          <w:sz w:val="22"/>
          <w:szCs w:val="22"/>
          <w:lang w:val="en-GB"/>
        </w:rPr>
        <w:t xml:space="preserve"> Raising the age from 16 to 18 for sending children to prison has led to significant improvements in child protection, aligning with international standards and reducing the exposure of minors to harmful environments.</w:t>
      </w:r>
    </w:p>
    <w:p w14:paraId="7A56D7DA" w14:textId="32D4F203" w:rsidR="00190F2C" w:rsidRPr="00190F2C" w:rsidRDefault="00190F2C" w:rsidP="007226F8">
      <w:pPr>
        <w:numPr>
          <w:ilvl w:val="0"/>
          <w:numId w:val="102"/>
        </w:numPr>
        <w:jc w:val="both"/>
        <w:rPr>
          <w:sz w:val="22"/>
          <w:szCs w:val="22"/>
          <w:lang w:val="en-GB"/>
        </w:rPr>
      </w:pPr>
      <w:r w:rsidRPr="00190F2C">
        <w:rPr>
          <w:b/>
          <w:bCs/>
          <w:sz w:val="22"/>
          <w:szCs w:val="22"/>
          <w:lang w:val="en-GB"/>
        </w:rPr>
        <w:t>Reduction in Recidivism Rates:</w:t>
      </w:r>
      <w:r w:rsidRPr="00190F2C">
        <w:rPr>
          <w:sz w:val="22"/>
          <w:szCs w:val="22"/>
          <w:lang w:val="en-GB"/>
        </w:rPr>
        <w:t xml:space="preserve"> </w:t>
      </w:r>
      <w:r w:rsidR="00E142FA" w:rsidRPr="00E142FA">
        <w:rPr>
          <w:sz w:val="22"/>
          <w:szCs w:val="22"/>
        </w:rPr>
        <w:t>Although national data does not yet indicate a decline in recidivism among children, which would demonstrate the effectiveness of separating minors from adults in detention facilities, national stakeholders believe there is—and will continue to be—a positive trend in preventing children from re-entering the system. Therefore, conducting baseline research and establishing reliable data is crucial. A structured approach to data collection has strong potential to support long-term reintegration efforts and reduce repeat offenses.</w:t>
      </w:r>
    </w:p>
    <w:p w14:paraId="70A3CE13" w14:textId="7FE45A97" w:rsidR="00190F2C" w:rsidRPr="00190F2C" w:rsidRDefault="00190F2C" w:rsidP="007226F8">
      <w:pPr>
        <w:numPr>
          <w:ilvl w:val="0"/>
          <w:numId w:val="102"/>
        </w:numPr>
        <w:jc w:val="both"/>
        <w:rPr>
          <w:sz w:val="22"/>
          <w:szCs w:val="22"/>
          <w:lang w:val="en-GB"/>
        </w:rPr>
      </w:pPr>
      <w:r w:rsidRPr="00190F2C">
        <w:rPr>
          <w:b/>
          <w:bCs/>
          <w:sz w:val="22"/>
          <w:szCs w:val="22"/>
          <w:lang w:val="en-GB"/>
        </w:rPr>
        <w:t>Shift in Societal Perceptions:</w:t>
      </w:r>
      <w:r w:rsidRPr="00190F2C">
        <w:rPr>
          <w:sz w:val="22"/>
          <w:szCs w:val="22"/>
          <w:lang w:val="en-GB"/>
        </w:rPr>
        <w:t xml:space="preserve"> Advocacy efforts </w:t>
      </w:r>
      <w:r w:rsidR="00E142FA">
        <w:rPr>
          <w:sz w:val="22"/>
          <w:szCs w:val="22"/>
          <w:lang w:val="en-GB"/>
        </w:rPr>
        <w:t xml:space="preserve">with the </w:t>
      </w:r>
      <w:r w:rsidR="00EC57B7">
        <w:rPr>
          <w:sz w:val="22"/>
          <w:szCs w:val="22"/>
          <w:lang w:val="en-GB"/>
        </w:rPr>
        <w:t>justice</w:t>
      </w:r>
      <w:r w:rsidR="00E142FA">
        <w:rPr>
          <w:sz w:val="22"/>
          <w:szCs w:val="22"/>
          <w:lang w:val="en-GB"/>
        </w:rPr>
        <w:t xml:space="preserve"> sector </w:t>
      </w:r>
      <w:r w:rsidRPr="00190F2C">
        <w:rPr>
          <w:sz w:val="22"/>
          <w:szCs w:val="22"/>
          <w:lang w:val="en-GB"/>
        </w:rPr>
        <w:t xml:space="preserve">have contributed to changing public </w:t>
      </w:r>
      <w:r w:rsidR="00E142FA">
        <w:rPr>
          <w:sz w:val="22"/>
          <w:szCs w:val="22"/>
          <w:lang w:val="en-GB"/>
        </w:rPr>
        <w:t xml:space="preserve">officials’ </w:t>
      </w:r>
      <w:r w:rsidRPr="00190F2C">
        <w:rPr>
          <w:sz w:val="22"/>
          <w:szCs w:val="22"/>
          <w:lang w:val="en-GB"/>
        </w:rPr>
        <w:t>attitudes toward children in conflict with the law, fostering greater acceptance of rehabilitative and restorative justice approaches.</w:t>
      </w:r>
    </w:p>
    <w:p w14:paraId="5725AB82" w14:textId="13B39675" w:rsidR="00190F2C" w:rsidRPr="00190F2C" w:rsidRDefault="006C5CC9" w:rsidP="007226F8">
      <w:pPr>
        <w:numPr>
          <w:ilvl w:val="0"/>
          <w:numId w:val="102"/>
        </w:numPr>
        <w:jc w:val="both"/>
        <w:rPr>
          <w:sz w:val="22"/>
          <w:szCs w:val="22"/>
          <w:lang w:val="en-GB"/>
        </w:rPr>
      </w:pPr>
      <w:r>
        <w:rPr>
          <w:sz w:val="22"/>
          <w:szCs w:val="22"/>
          <w:lang w:val="en-GB"/>
        </w:rPr>
        <w:t>M</w:t>
      </w:r>
      <w:r w:rsidRPr="00EE71C7">
        <w:rPr>
          <w:sz w:val="22"/>
          <w:szCs w:val="22"/>
          <w:lang w:val="en-GB"/>
        </w:rPr>
        <w:t xml:space="preserve">ediation and diversion-like measures </w:t>
      </w:r>
      <w:r w:rsidR="00190F2C" w:rsidRPr="00190F2C">
        <w:rPr>
          <w:b/>
          <w:bCs/>
          <w:sz w:val="22"/>
          <w:szCs w:val="22"/>
          <w:lang w:val="en-GB"/>
        </w:rPr>
        <w:t>for Children:</w:t>
      </w:r>
      <w:r w:rsidR="00190F2C" w:rsidRPr="00190F2C">
        <w:rPr>
          <w:sz w:val="22"/>
          <w:szCs w:val="22"/>
          <w:lang w:val="en-GB"/>
        </w:rPr>
        <w:t xml:space="preserve"> Initiatives to implement </w:t>
      </w:r>
      <w:r w:rsidRPr="00EE71C7">
        <w:rPr>
          <w:sz w:val="22"/>
          <w:szCs w:val="22"/>
          <w:lang w:val="en-GB"/>
        </w:rPr>
        <w:t xml:space="preserve">mediation and diversion-like measures </w:t>
      </w:r>
      <w:r w:rsidR="00190F2C" w:rsidRPr="00190F2C">
        <w:rPr>
          <w:sz w:val="22"/>
          <w:szCs w:val="22"/>
          <w:lang w:val="en-GB"/>
        </w:rPr>
        <w:t>are underway, aiming to rehabilitate children outside the formal justice system, preventing their criminalization and promoting reintegration.</w:t>
      </w:r>
    </w:p>
    <w:p w14:paraId="13A7EDF9" w14:textId="6518DECD" w:rsidR="00163514" w:rsidRPr="00E142FA" w:rsidRDefault="00190F2C" w:rsidP="00C900FD">
      <w:pPr>
        <w:numPr>
          <w:ilvl w:val="0"/>
          <w:numId w:val="102"/>
        </w:numPr>
        <w:jc w:val="both"/>
        <w:rPr>
          <w:sz w:val="22"/>
          <w:szCs w:val="22"/>
          <w:lang w:val="en-GB"/>
        </w:rPr>
        <w:sectPr w:rsidR="00163514" w:rsidRPr="00E142FA" w:rsidSect="00C26EF8">
          <w:pgSz w:w="11894" w:h="16834"/>
          <w:pgMar w:top="1440" w:right="1152" w:bottom="1152" w:left="1152" w:header="706" w:footer="706" w:gutter="0"/>
          <w:cols w:space="708"/>
          <w:titlePg/>
          <w:docGrid w:linePitch="360"/>
        </w:sectPr>
      </w:pPr>
      <w:r w:rsidRPr="00190F2C">
        <w:rPr>
          <w:b/>
          <w:bCs/>
          <w:sz w:val="22"/>
          <w:szCs w:val="22"/>
          <w:lang w:val="en-GB"/>
        </w:rPr>
        <w:t>Expanded Mediation for Minor Offenses:</w:t>
      </w:r>
      <w:r w:rsidRPr="00190F2C">
        <w:rPr>
          <w:sz w:val="22"/>
          <w:szCs w:val="22"/>
          <w:lang w:val="en-GB"/>
        </w:rPr>
        <w:t xml:space="preserve"> Increasing the monetary threshold for mediation from 5,000 to 100,000 Sri Lankan Rupees (</w:t>
      </w:r>
      <w:r w:rsidR="00254A44" w:rsidRPr="007A5C5F">
        <w:rPr>
          <w:sz w:val="22"/>
          <w:szCs w:val="22"/>
          <w:lang w:val="en-GB"/>
        </w:rPr>
        <w:t xml:space="preserve">approx. </w:t>
      </w:r>
      <w:r w:rsidRPr="00190F2C">
        <w:rPr>
          <w:sz w:val="22"/>
          <w:szCs w:val="22"/>
          <w:lang w:val="en-GB"/>
        </w:rPr>
        <w:t>350 USD) since January 2024 has reduced the number of children entering the court system for petty crimes, promoting alternative resolution methods</w:t>
      </w:r>
      <w:r w:rsidR="00E142FA">
        <w:rPr>
          <w:sz w:val="22"/>
          <w:szCs w:val="22"/>
          <w:lang w:val="en-GB"/>
        </w:rPr>
        <w:t xml:space="preserve">. </w:t>
      </w:r>
      <w:r w:rsidR="00A62EBA" w:rsidRPr="00E142FA">
        <w:rPr>
          <w:sz w:val="22"/>
          <w:szCs w:val="22"/>
          <w:lang w:val="en-GB"/>
        </w:rPr>
        <w:t>Sustained investment, monitoring, and further scaling of these efforts are critical to maintaining the momentum and ensuring the long-term welfare of children in conflict with the l</w:t>
      </w:r>
      <w:r w:rsidR="00E142FA" w:rsidRPr="00E142FA">
        <w:rPr>
          <w:sz w:val="22"/>
          <w:szCs w:val="22"/>
          <w:lang w:val="en-GB"/>
        </w:rPr>
        <w:t>a</w:t>
      </w:r>
      <w:r w:rsidR="00EC302A">
        <w:rPr>
          <w:sz w:val="22"/>
          <w:szCs w:val="22"/>
          <w:lang w:val="en-GB"/>
        </w:rPr>
        <w:t>w</w:t>
      </w:r>
    </w:p>
    <w:p w14:paraId="318A4E3A" w14:textId="075711CC" w:rsidR="0097359D" w:rsidRPr="007A5C5F" w:rsidRDefault="0097359D" w:rsidP="006D3B28">
      <w:pPr>
        <w:pStyle w:val="Heading1"/>
        <w:pBdr>
          <w:left w:val="single" w:sz="4" w:space="2" w:color="3F9683"/>
          <w:bottom w:val="single" w:sz="4" w:space="18" w:color="3F9683"/>
          <w:right w:val="single" w:sz="4" w:space="5" w:color="3F9683"/>
        </w:pBdr>
        <w:ind w:left="0" w:firstLine="0"/>
        <w:jc w:val="left"/>
        <w:rPr>
          <w:rFonts w:ascii="Times New Roman" w:hAnsi="Times New Roman" w:cs="Times New Roman"/>
          <w:sz w:val="22"/>
          <w:szCs w:val="22"/>
          <w:lang w:val="en-GB"/>
        </w:rPr>
      </w:pPr>
    </w:p>
    <w:sectPr w:rsidR="0097359D" w:rsidRPr="007A5C5F" w:rsidSect="00C26EF8">
      <w:footerReference w:type="default" r:id="rId33"/>
      <w:pgSz w:w="11894" w:h="16834"/>
      <w:pgMar w:top="1440" w:right="1152" w:bottom="1152" w:left="1152"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5DB91" w14:textId="77777777" w:rsidR="005B4472" w:rsidRDefault="005B4472" w:rsidP="00837891">
      <w:r>
        <w:separator/>
      </w:r>
    </w:p>
  </w:endnote>
  <w:endnote w:type="continuationSeparator" w:id="0">
    <w:p w14:paraId="63F65B15" w14:textId="77777777" w:rsidR="005B4472" w:rsidRDefault="005B4472" w:rsidP="00837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Noto Sans Symbols">
    <w:altName w:val="Calibri"/>
    <w:panose1 w:val="020B0604020202020204"/>
    <w:charset w:val="00"/>
    <w:family w:val="auto"/>
    <w:pitch w:val="default"/>
  </w:font>
  <w:font w:name="Yu Mincho">
    <w:panose1 w:val="02020400000000000000"/>
    <w:charset w:val="80"/>
    <w:family w:val="roman"/>
    <w:pitch w:val="variable"/>
    <w:sig w:usb0="800002E7" w:usb1="2AC7FCFF" w:usb2="00000012" w:usb3="00000000" w:csb0="0002009F" w:csb1="00000000"/>
  </w:font>
  <w:font w:name="Gill Sans Light">
    <w:altName w:val="GILL SANS LIGHT"/>
    <w:panose1 w:val="020B0302020104020203"/>
    <w:charset w:val="B1"/>
    <w:family w:val="swiss"/>
    <w:pitch w:val="variable"/>
    <w:sig w:usb0="80000A67" w:usb1="00000000" w:usb2="00000000" w:usb3="00000000" w:csb0="000001F7" w:csb1="00000000"/>
  </w:font>
  <w:font w:name="Arial Unicode MS">
    <w:panose1 w:val="020B0604020202020204"/>
    <w:charset w:val="80"/>
    <w:family w:val="swiss"/>
    <w:pitch w:val="variable"/>
    <w:sig w:usb0="F7FFAFFF" w:usb1="E9DFFFFF" w:usb2="0000003F" w:usb3="00000000" w:csb0="003F01FF" w:csb1="00000000"/>
  </w:font>
  <w:font w:name="DengXian Light">
    <w:panose1 w:val="02010600030101010101"/>
    <w:charset w:val="86"/>
    <w:family w:val="auto"/>
    <w:pitch w:val="variable"/>
    <w:sig w:usb0="A00002BF" w:usb1="38CF7CFA" w:usb2="00000016" w:usb3="00000000" w:csb0="0004000F" w:csb1="00000000"/>
  </w:font>
  <w:font w:name="Gill Sans">
    <w:panose1 w:val="020B0502020104020203"/>
    <w:charset w:val="B1"/>
    <w:family w:val="swiss"/>
    <w:pitch w:val="variable"/>
    <w:sig w:usb0="80000A67" w:usb1="00000000" w:usb2="00000000" w:usb3="00000000" w:csb0="000001F7" w:csb1="00000000"/>
  </w:font>
  <w:font w:name="Yu Gothic Light">
    <w:panose1 w:val="020B0300000000000000"/>
    <w:charset w:val="80"/>
    <w:family w:val="swiss"/>
    <w:pitch w:val="variable"/>
    <w:sig w:usb0="E00002FF" w:usb1="2AC7FDFF" w:usb2="00000016" w:usb3="00000000" w:csb0="0002009F" w:csb1="00000000"/>
  </w:font>
  <w:font w:name="Avenir Book">
    <w:panose1 w:val="02000503020000020003"/>
    <w:charset w:val="00"/>
    <w:family w:val="auto"/>
    <w:pitch w:val="variable"/>
    <w:sig w:usb0="800000AF" w:usb1="5000204A" w:usb2="00000000" w:usb3="00000000" w:csb0="0000009B" w:csb1="00000000"/>
  </w:font>
  <w:font w:name="Arial (Body CS)">
    <w:altName w:val="Arial"/>
    <w:panose1 w:val="020B0604020202020204"/>
    <w:charset w:val="00"/>
    <w:family w:val="roman"/>
    <w:pitch w:val="default"/>
  </w:font>
  <w:font w:name="AppleGothic">
    <w:panose1 w:val="02000500000000000000"/>
    <w:charset w:val="81"/>
    <w:family w:val="auto"/>
    <w:pitch w:val="variable"/>
    <w:sig w:usb0="00000001" w:usb1="09060000" w:usb2="00000010" w:usb3="00000000" w:csb0="0028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imes">
    <w:altName w:val="Times New Roman"/>
    <w:panose1 w:val="0200050000000000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77812775"/>
      <w:docPartObj>
        <w:docPartGallery w:val="Page Numbers (Bottom of Page)"/>
        <w:docPartUnique/>
      </w:docPartObj>
    </w:sdtPr>
    <w:sdtContent>
      <w:p w14:paraId="71336EBF" w14:textId="77777777" w:rsidR="00EA79BF" w:rsidRDefault="00EA79BF" w:rsidP="006823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p>
    </w:sdtContent>
  </w:sdt>
  <w:p w14:paraId="5D2C858E" w14:textId="77777777" w:rsidR="00EA79BF" w:rsidRDefault="00EA79BF" w:rsidP="007A5C5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5D6B3" w14:textId="77777777" w:rsidR="00EA79BF" w:rsidRDefault="00EA79BF" w:rsidP="00C26EF8">
    <w:pPr>
      <w:pStyle w:val="Footer"/>
    </w:pPr>
    <w:r>
      <w:t>V</w:t>
    </w:r>
    <w:r>
      <w:fldChar w:fldCharType="begin"/>
    </w:r>
    <w:r>
      <w:instrText xml:space="preserve"> PAGE  \* MERGEFORMAT </w:instrText>
    </w:r>
    <w:r>
      <w:fldChar w:fldCharType="separate"/>
    </w:r>
    <w:r>
      <w:rPr>
        <w:noProof/>
      </w:rPr>
      <w:t>3</w:t>
    </w:r>
    <w:r>
      <w:fldChar w:fldCharType="end"/>
    </w:r>
    <w:r>
      <w:t xml:space="preserve">Version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8F5D7" w14:textId="77777777" w:rsidR="00EA79BF" w:rsidRDefault="00EA79BF">
    <w:pPr>
      <w:pStyle w:val="Footer"/>
    </w:pPr>
    <w:r>
      <w:t>Ve</w:t>
    </w:r>
    <w:r>
      <w:fldChar w:fldCharType="begin"/>
    </w:r>
    <w:r>
      <w:instrText xml:space="preserve"> PAGE  \* MERGEFORMAT </w:instrText>
    </w:r>
    <w:r>
      <w:fldChar w:fldCharType="separate"/>
    </w:r>
    <w:r>
      <w:rPr>
        <w:noProof/>
      </w:rPr>
      <w:t>3</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BA9B1" w14:textId="77777777" w:rsidR="00EA79BF" w:rsidRDefault="00EA79BF">
    <w:pPr>
      <w:pStyle w:val="Footer"/>
    </w:pPr>
    <w:r>
      <w:fldChar w:fldCharType="begin"/>
    </w:r>
    <w:r>
      <w:instrText xml:space="preserve"> PAGE  \* MERGEFORMAT </w:instrText>
    </w:r>
    <w:r>
      <w:fldChar w:fldCharType="separate"/>
    </w:r>
    <w:r>
      <w:rPr>
        <w:noProof/>
      </w:rPr>
      <w:t>3</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17894331"/>
      <w:docPartObj>
        <w:docPartGallery w:val="Page Numbers (Bottom of Page)"/>
        <w:docPartUnique/>
      </w:docPartObj>
    </w:sdtPr>
    <w:sdtContent>
      <w:p w14:paraId="41FC0B5B" w14:textId="77777777" w:rsidR="00EA79BF" w:rsidRDefault="00EA79BF" w:rsidP="006823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7D4C6E08" w14:textId="28868B54" w:rsidR="00EA79BF" w:rsidRDefault="00111021" w:rsidP="007A5C5F">
    <w:pPr>
      <w:pStyle w:val="Footer"/>
      <w:ind w:right="360"/>
      <w:jc w:val="left"/>
    </w:pPr>
    <w:fldSimple w:instr=" STYLEREF &quot;Heading 1&quot; \* MERGEFORMAT ">
      <w:r w:rsidR="00620659">
        <w:rPr>
          <w:noProof/>
        </w:rPr>
        <w:t>Description of the intervention</w:t>
      </w:r>
    </w:fldSimple>
    <w:r w:rsidR="00EA79BF">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21CC2" w14:textId="77777777" w:rsidR="00EA79BF" w:rsidRDefault="00EA79BF">
    <w:pPr>
      <w:pStyle w:val="Footer"/>
    </w:pPr>
    <w:r>
      <w:fldChar w:fldCharType="begin"/>
    </w:r>
    <w:r>
      <w:instrText xml:space="preserve"> PAGE  \* MERGEFORMAT </w:instrText>
    </w:r>
    <w:r>
      <w:fldChar w:fldCharType="separate"/>
    </w:r>
    <w:r>
      <w:rPr>
        <w:noProof/>
      </w:rPr>
      <w:t>3</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8B698" w14:textId="77777777" w:rsidR="00EA79BF" w:rsidRDefault="00EA79BF">
    <w:pPr>
      <w:pBdr>
        <w:top w:val="nil"/>
        <w:left w:val="nil"/>
        <w:bottom w:val="nil"/>
        <w:right w:val="nil"/>
        <w:between w:val="nil"/>
      </w:pBdr>
      <w:tabs>
        <w:tab w:val="right" w:pos="10080"/>
      </w:tabs>
      <w:jc w:val="right"/>
      <w:rPr>
        <w:rFonts w:ascii="Gill Sans" w:eastAsia="Gill Sans" w:hAnsi="Gill Sans" w:cs="Gill Sans"/>
        <w:smallCaps/>
        <w:color w:val="5E5E5E"/>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17AD2" w14:textId="15D29977" w:rsidR="005A53EE" w:rsidRDefault="005A53EE">
    <w:pPr>
      <w:pBdr>
        <w:top w:val="nil"/>
        <w:left w:val="nil"/>
        <w:bottom w:val="nil"/>
        <w:right w:val="nil"/>
        <w:between w:val="nil"/>
      </w:pBdr>
      <w:tabs>
        <w:tab w:val="right" w:pos="10080"/>
      </w:tabs>
      <w:jc w:val="right"/>
      <w:rPr>
        <w:rFonts w:ascii="Gill Sans" w:eastAsia="Gill Sans" w:hAnsi="Gill Sans" w:cs="Gill Sans"/>
        <w:smallCaps/>
        <w:color w:val="5E5E5E"/>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5EB66" w14:textId="6CB0D7E1" w:rsidR="00AF04EE" w:rsidRDefault="00AF04EE" w:rsidP="00163514">
    <w:pPr>
      <w:pStyle w:val="Footer"/>
      <w:jc w:val="left"/>
    </w:pPr>
    <w:r>
      <w:tab/>
    </w:r>
    <w:r>
      <w:fldChar w:fldCharType="begin"/>
    </w:r>
    <w:r>
      <w:instrText xml:space="preserve"> PAGE  \* MERGEFORMAT </w:instrText>
    </w:r>
    <w:r>
      <w:fldChar w:fldCharType="separate"/>
    </w:r>
    <w:r>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D2362" w14:textId="77777777" w:rsidR="005B4472" w:rsidRDefault="005B4472" w:rsidP="00837891">
      <w:r>
        <w:separator/>
      </w:r>
    </w:p>
  </w:footnote>
  <w:footnote w:type="continuationSeparator" w:id="0">
    <w:p w14:paraId="74153BFE" w14:textId="77777777" w:rsidR="005B4472" w:rsidRDefault="005B4472" w:rsidP="00837891">
      <w:r>
        <w:continuationSeparator/>
      </w:r>
    </w:p>
  </w:footnote>
  <w:footnote w:id="1">
    <w:p w14:paraId="44FEC431" w14:textId="77777777" w:rsidR="00EA79BF" w:rsidRPr="001E25CA" w:rsidRDefault="00EA79BF" w:rsidP="00EA79BF">
      <w:pPr>
        <w:pStyle w:val="FootnoteText"/>
      </w:pPr>
      <w:r w:rsidRPr="001E25CA">
        <w:rPr>
          <w:rStyle w:val="FootnoteReference"/>
        </w:rPr>
        <w:footnoteRef/>
      </w:r>
      <w:r w:rsidRPr="001E25CA">
        <w:t xml:space="preserve"> </w:t>
      </w:r>
      <w:r>
        <w:t>This</w:t>
      </w:r>
      <w:r w:rsidRPr="001E25CA">
        <w:t xml:space="preserve"> is the entity that has overall responsibility for implementation of the project (award), effective use of resources and delivery of outputs in the signed project document and workplan.</w:t>
      </w:r>
    </w:p>
  </w:footnote>
  <w:footnote w:id="2">
    <w:p w14:paraId="7CB95FB8" w14:textId="77777777" w:rsidR="00EA79BF" w:rsidRPr="009D22EB" w:rsidRDefault="00EA79BF" w:rsidP="00EA79BF">
      <w:pPr>
        <w:pStyle w:val="FootnoteText"/>
        <w:rPr>
          <w:sz w:val="16"/>
          <w:szCs w:val="16"/>
        </w:rPr>
      </w:pPr>
      <w:r w:rsidRPr="009D22EB">
        <w:rPr>
          <w:rStyle w:val="FootnoteReference"/>
          <w:sz w:val="16"/>
          <w:szCs w:val="16"/>
        </w:rPr>
        <w:footnoteRef/>
      </w:r>
      <w:r w:rsidRPr="009D22EB">
        <w:rPr>
          <w:sz w:val="16"/>
          <w:szCs w:val="16"/>
        </w:rPr>
        <w:t xml:space="preserve"> Source: Sri Lanka Statement at the 49th Session of the Human Rights Council)</w:t>
      </w:r>
    </w:p>
  </w:footnote>
  <w:footnote w:id="3">
    <w:p w14:paraId="6E9A0077" w14:textId="77777777" w:rsidR="00EA79BF" w:rsidRPr="009D22EB" w:rsidRDefault="00EA79BF" w:rsidP="00EA79BF">
      <w:pPr>
        <w:pStyle w:val="FootnoteText"/>
        <w:rPr>
          <w:sz w:val="16"/>
          <w:szCs w:val="16"/>
        </w:rPr>
      </w:pPr>
      <w:r w:rsidRPr="009D22EB">
        <w:rPr>
          <w:sz w:val="16"/>
          <w:szCs w:val="16"/>
        </w:rPr>
        <w:footnoteRef/>
      </w:r>
      <w:r w:rsidRPr="009D22EB">
        <w:rPr>
          <w:sz w:val="16"/>
          <w:szCs w:val="16"/>
        </w:rPr>
        <w:t xml:space="preserve"> Source: IMF Article IV Consultation Report, 2022</w:t>
      </w:r>
    </w:p>
  </w:footnote>
  <w:footnote w:id="4">
    <w:p w14:paraId="2510C15B" w14:textId="77777777" w:rsidR="00EA79BF" w:rsidRPr="009D22EB" w:rsidRDefault="00EA79BF" w:rsidP="00EA79BF">
      <w:pPr>
        <w:pStyle w:val="FootnoteText"/>
        <w:rPr>
          <w:sz w:val="16"/>
          <w:szCs w:val="16"/>
        </w:rPr>
      </w:pPr>
      <w:r w:rsidRPr="009D22EB">
        <w:rPr>
          <w:sz w:val="16"/>
          <w:szCs w:val="16"/>
        </w:rPr>
        <w:footnoteRef/>
      </w:r>
      <w:r w:rsidRPr="009D22EB">
        <w:rPr>
          <w:sz w:val="16"/>
          <w:szCs w:val="16"/>
        </w:rPr>
        <w:t xml:space="preserve"> Source: Central Bank of Sri Lanka Annual Report, 2021)</w:t>
      </w:r>
    </w:p>
  </w:footnote>
  <w:footnote w:id="5">
    <w:p w14:paraId="0ED677BC" w14:textId="77777777" w:rsidR="00EA79BF" w:rsidRPr="009D22EB" w:rsidRDefault="00EA79BF" w:rsidP="00EA79BF">
      <w:pPr>
        <w:pStyle w:val="FootnoteText"/>
        <w:rPr>
          <w:sz w:val="16"/>
          <w:szCs w:val="16"/>
        </w:rPr>
      </w:pPr>
      <w:r w:rsidRPr="009D22EB">
        <w:rPr>
          <w:sz w:val="16"/>
          <w:szCs w:val="16"/>
        </w:rPr>
        <w:footnoteRef/>
      </w:r>
      <w:r w:rsidRPr="009D22EB">
        <w:rPr>
          <w:sz w:val="16"/>
          <w:szCs w:val="16"/>
        </w:rPr>
        <w:t xml:space="preserve"> Source: International Labour Organization, Migrant Worker Brief, 2022)</w:t>
      </w:r>
    </w:p>
  </w:footnote>
  <w:footnote w:id="6">
    <w:p w14:paraId="54BC1933" w14:textId="77777777" w:rsidR="00EA79BF" w:rsidRPr="009D22EB" w:rsidRDefault="00EA79BF" w:rsidP="00EA79BF">
      <w:pPr>
        <w:pStyle w:val="FootnoteText"/>
        <w:rPr>
          <w:sz w:val="16"/>
          <w:szCs w:val="16"/>
        </w:rPr>
      </w:pPr>
      <w:r w:rsidRPr="009D22EB">
        <w:rPr>
          <w:rStyle w:val="FootnoteReference"/>
          <w:sz w:val="16"/>
          <w:szCs w:val="16"/>
        </w:rPr>
        <w:footnoteRef/>
      </w:r>
      <w:r w:rsidRPr="009D22EB">
        <w:rPr>
          <w:sz w:val="16"/>
          <w:szCs w:val="16"/>
        </w:rPr>
        <w:t xml:space="preserve"> Sri Lanka Constitution, 1978. Article 12(1): All persons are equal before the law. Article 12(2): No citizen shall be discriminated against based on race, religion, language, caste, sex, or political opinion. Article 12(4): Article 12(4): Special provisions may be made for the advancement of women, children, and disabled persons.</w:t>
      </w:r>
    </w:p>
  </w:footnote>
  <w:footnote w:id="7">
    <w:p w14:paraId="4F1F9251" w14:textId="77777777" w:rsidR="00EA79BF" w:rsidRPr="009D22EB" w:rsidRDefault="00EA79BF" w:rsidP="00EA79BF">
      <w:pPr>
        <w:pStyle w:val="FootnoteText"/>
        <w:rPr>
          <w:sz w:val="16"/>
          <w:szCs w:val="16"/>
        </w:rPr>
      </w:pPr>
      <w:r w:rsidRPr="009D22EB">
        <w:rPr>
          <w:sz w:val="16"/>
          <w:szCs w:val="16"/>
        </w:rPr>
        <w:footnoteRef/>
      </w:r>
      <w:r w:rsidRPr="009D22EB">
        <w:rPr>
          <w:sz w:val="16"/>
          <w:szCs w:val="16"/>
        </w:rPr>
        <w:t xml:space="preserve"> Source: Sri Lanka Constitution, 1978</w:t>
      </w:r>
    </w:p>
  </w:footnote>
  <w:footnote w:id="8">
    <w:p w14:paraId="093D10A2" w14:textId="77777777" w:rsidR="00EA79BF" w:rsidRPr="009D22EB" w:rsidRDefault="00EA79BF" w:rsidP="00EA79BF">
      <w:pPr>
        <w:tabs>
          <w:tab w:val="left" w:pos="1440"/>
        </w:tabs>
        <w:rPr>
          <w:sz w:val="16"/>
          <w:szCs w:val="16"/>
        </w:rPr>
      </w:pPr>
      <w:r w:rsidRPr="009D22EB">
        <w:rPr>
          <w:rStyle w:val="FootnoteReference"/>
          <w:sz w:val="16"/>
          <w:szCs w:val="16"/>
        </w:rPr>
        <w:footnoteRef/>
      </w:r>
      <w:r w:rsidRPr="009D22EB">
        <w:rPr>
          <w:sz w:val="16"/>
          <w:szCs w:val="16"/>
        </w:rPr>
        <w:t xml:space="preserve"> Source: Ninth Periodic CEDAW Report, 2021.</w:t>
      </w:r>
    </w:p>
  </w:footnote>
  <w:footnote w:id="9">
    <w:p w14:paraId="06B3DD37" w14:textId="77777777" w:rsidR="00EA79BF" w:rsidRPr="009D22EB" w:rsidRDefault="00EA79BF" w:rsidP="00EA79BF">
      <w:pPr>
        <w:pStyle w:val="FootnoteText"/>
        <w:rPr>
          <w:sz w:val="16"/>
          <w:szCs w:val="16"/>
          <w:lang w:val="en-GB"/>
        </w:rPr>
      </w:pPr>
      <w:r w:rsidRPr="009D22EB">
        <w:rPr>
          <w:rStyle w:val="FootnoteReference"/>
          <w:sz w:val="16"/>
          <w:szCs w:val="16"/>
        </w:rPr>
        <w:footnoteRef/>
      </w:r>
      <w:r w:rsidRPr="009D22EB">
        <w:rPr>
          <w:sz w:val="16"/>
          <w:szCs w:val="16"/>
        </w:rPr>
        <w:t xml:space="preserve"> </w:t>
      </w:r>
      <w:r w:rsidRPr="009D22EB">
        <w:rPr>
          <w:rFonts w:eastAsia="Times New Roman"/>
          <w:snapToGrid/>
          <w:sz w:val="16"/>
          <w:szCs w:val="16"/>
        </w:rPr>
        <w:t>Source: Cabinet Decision, January 4, 2021.</w:t>
      </w:r>
    </w:p>
  </w:footnote>
  <w:footnote w:id="10">
    <w:p w14:paraId="3D3A2999" w14:textId="77777777" w:rsidR="00EA79BF" w:rsidRPr="009D22EB" w:rsidRDefault="00EA79BF" w:rsidP="00EA79BF">
      <w:pPr>
        <w:tabs>
          <w:tab w:val="left" w:pos="1440"/>
        </w:tabs>
        <w:rPr>
          <w:sz w:val="16"/>
          <w:szCs w:val="16"/>
        </w:rPr>
      </w:pPr>
      <w:r w:rsidRPr="009D22EB">
        <w:rPr>
          <w:rStyle w:val="FootnoteReference"/>
          <w:sz w:val="16"/>
          <w:szCs w:val="16"/>
        </w:rPr>
        <w:footnoteRef/>
      </w:r>
      <w:r w:rsidRPr="009D22EB">
        <w:rPr>
          <w:sz w:val="16"/>
          <w:szCs w:val="16"/>
        </w:rPr>
        <w:t xml:space="preserve"> Source: UNDP-supported training programs, 2015-2021.</w:t>
      </w:r>
    </w:p>
  </w:footnote>
  <w:footnote w:id="11">
    <w:p w14:paraId="7B5AA945" w14:textId="77777777" w:rsidR="00EA79BF" w:rsidRPr="009D22EB" w:rsidRDefault="00EA79BF" w:rsidP="00EA79BF">
      <w:pPr>
        <w:tabs>
          <w:tab w:val="left" w:pos="1440"/>
        </w:tabs>
        <w:rPr>
          <w:sz w:val="16"/>
          <w:szCs w:val="16"/>
        </w:rPr>
      </w:pPr>
      <w:r w:rsidRPr="009D22EB">
        <w:rPr>
          <w:rStyle w:val="FootnoteReference"/>
          <w:sz w:val="16"/>
          <w:szCs w:val="16"/>
        </w:rPr>
        <w:footnoteRef/>
      </w:r>
      <w:r w:rsidRPr="009D22EB">
        <w:rPr>
          <w:sz w:val="16"/>
          <w:szCs w:val="16"/>
        </w:rPr>
        <w:t xml:space="preserve"> Source: Department of Census and Statistics, Women’s Wellbeing National Study, 2021</w:t>
      </w:r>
    </w:p>
  </w:footnote>
  <w:footnote w:id="12">
    <w:p w14:paraId="601CC256" w14:textId="77777777" w:rsidR="00EA79BF" w:rsidRPr="009D22EB" w:rsidRDefault="00EA79BF" w:rsidP="00EA79BF">
      <w:pPr>
        <w:tabs>
          <w:tab w:val="left" w:pos="1440"/>
        </w:tabs>
        <w:rPr>
          <w:sz w:val="16"/>
          <w:szCs w:val="16"/>
        </w:rPr>
      </w:pPr>
      <w:r w:rsidRPr="009D22EB">
        <w:rPr>
          <w:rStyle w:val="FootnoteReference"/>
          <w:sz w:val="16"/>
          <w:szCs w:val="16"/>
        </w:rPr>
        <w:footnoteRef/>
      </w:r>
      <w:r w:rsidRPr="009D22EB">
        <w:rPr>
          <w:sz w:val="16"/>
          <w:szCs w:val="16"/>
        </w:rPr>
        <w:t xml:space="preserve"> Source: UN Women Multi-Country Study, 2016.</w:t>
      </w:r>
    </w:p>
  </w:footnote>
  <w:footnote w:id="13">
    <w:p w14:paraId="4A584A43" w14:textId="77777777" w:rsidR="00EA79BF" w:rsidRPr="009D22EB" w:rsidRDefault="00EA79BF" w:rsidP="00EA79BF">
      <w:pPr>
        <w:tabs>
          <w:tab w:val="left" w:pos="1440"/>
        </w:tabs>
        <w:rPr>
          <w:sz w:val="16"/>
          <w:szCs w:val="16"/>
        </w:rPr>
      </w:pPr>
      <w:r w:rsidRPr="009D22EB">
        <w:rPr>
          <w:rStyle w:val="FootnoteReference"/>
          <w:sz w:val="16"/>
          <w:szCs w:val="16"/>
        </w:rPr>
        <w:footnoteRef/>
      </w:r>
      <w:r w:rsidRPr="009D22EB">
        <w:rPr>
          <w:sz w:val="16"/>
          <w:szCs w:val="16"/>
        </w:rPr>
        <w:t xml:space="preserve"> Source: National Committee on Women and National Institute of Mental Health Helpline Data, 2020.</w:t>
      </w:r>
    </w:p>
  </w:footnote>
  <w:footnote w:id="14">
    <w:p w14:paraId="3825D132" w14:textId="77777777" w:rsidR="00EA79BF" w:rsidRPr="009D22EB" w:rsidRDefault="00EA79BF" w:rsidP="00EA79BF">
      <w:pPr>
        <w:pStyle w:val="FootnoteText"/>
        <w:rPr>
          <w:sz w:val="16"/>
          <w:szCs w:val="16"/>
          <w:lang w:val="en-GB"/>
        </w:rPr>
      </w:pPr>
      <w:r w:rsidRPr="009D22EB">
        <w:rPr>
          <w:rStyle w:val="FootnoteReference"/>
          <w:sz w:val="16"/>
          <w:szCs w:val="16"/>
        </w:rPr>
        <w:footnoteRef/>
      </w:r>
      <w:r w:rsidRPr="009D22EB">
        <w:rPr>
          <w:sz w:val="16"/>
          <w:szCs w:val="16"/>
        </w:rPr>
        <w:t xml:space="preserve"> Source: Parliamentary Sectoral Oversight Committee Report on Legal Affairs, 2021.</w:t>
      </w:r>
    </w:p>
  </w:footnote>
  <w:footnote w:id="15">
    <w:p w14:paraId="1DD73160" w14:textId="77777777" w:rsidR="00EA79BF" w:rsidRPr="009D22EB" w:rsidRDefault="00EA79BF" w:rsidP="00EA79BF">
      <w:pPr>
        <w:pStyle w:val="FootnoteText"/>
        <w:rPr>
          <w:sz w:val="16"/>
          <w:szCs w:val="16"/>
          <w:lang w:val="en-GB"/>
        </w:rPr>
      </w:pPr>
      <w:r w:rsidRPr="009D22EB">
        <w:rPr>
          <w:rStyle w:val="FootnoteReference"/>
          <w:sz w:val="16"/>
          <w:szCs w:val="16"/>
        </w:rPr>
        <w:footnoteRef/>
      </w:r>
      <w:r w:rsidRPr="009D22EB">
        <w:rPr>
          <w:sz w:val="16"/>
          <w:szCs w:val="16"/>
        </w:rPr>
        <w:t xml:space="preserve"> Source: Legal Aid Commission of Sri Lanka, JURE. 2023.</w:t>
      </w:r>
    </w:p>
  </w:footnote>
  <w:footnote w:id="16">
    <w:p w14:paraId="638DEAEB" w14:textId="77777777" w:rsidR="00EA79BF" w:rsidRPr="009D22EB" w:rsidRDefault="00EA79BF" w:rsidP="00EA79BF">
      <w:pPr>
        <w:pStyle w:val="FootnoteText"/>
        <w:rPr>
          <w:sz w:val="16"/>
          <w:szCs w:val="16"/>
          <w:lang w:val="en-GB"/>
        </w:rPr>
      </w:pPr>
      <w:r w:rsidRPr="009D22EB">
        <w:rPr>
          <w:rStyle w:val="FootnoteReference"/>
          <w:sz w:val="16"/>
          <w:szCs w:val="16"/>
        </w:rPr>
        <w:footnoteRef/>
      </w:r>
      <w:r w:rsidRPr="009D22EB">
        <w:rPr>
          <w:sz w:val="16"/>
          <w:szCs w:val="16"/>
        </w:rPr>
        <w:t xml:space="preserve"> </w:t>
      </w:r>
      <w:r w:rsidRPr="009D22EB">
        <w:rPr>
          <w:sz w:val="16"/>
          <w:szCs w:val="16"/>
          <w:lang w:val="en-GB"/>
        </w:rPr>
        <w:t>Ibid.</w:t>
      </w:r>
    </w:p>
  </w:footnote>
  <w:footnote w:id="17">
    <w:p w14:paraId="567A184E" w14:textId="77777777" w:rsidR="00EA79BF" w:rsidRPr="009D22EB" w:rsidRDefault="00EA79BF" w:rsidP="00EA79BF">
      <w:pPr>
        <w:tabs>
          <w:tab w:val="left" w:pos="1440"/>
        </w:tabs>
        <w:jc w:val="both"/>
        <w:rPr>
          <w:sz w:val="16"/>
          <w:szCs w:val="16"/>
        </w:rPr>
      </w:pPr>
      <w:r w:rsidRPr="009D22EB">
        <w:rPr>
          <w:rStyle w:val="FootnoteReference"/>
          <w:sz w:val="16"/>
          <w:szCs w:val="16"/>
        </w:rPr>
        <w:footnoteRef/>
      </w:r>
      <w:r w:rsidRPr="009D22EB">
        <w:rPr>
          <w:sz w:val="16"/>
          <w:szCs w:val="16"/>
        </w:rPr>
        <w:t xml:space="preserve"> </w:t>
      </w:r>
      <w:r w:rsidRPr="009D22EB">
        <w:rPr>
          <w:rFonts w:eastAsia="AppleGothic"/>
          <w:snapToGrid w:val="0"/>
          <w:sz w:val="16"/>
          <w:szCs w:val="16"/>
        </w:rPr>
        <w:t>Source: Final Report on Stakeholder Mapping, JURE 2023.</w:t>
      </w:r>
    </w:p>
  </w:footnote>
  <w:footnote w:id="18">
    <w:p w14:paraId="2503477F" w14:textId="77777777" w:rsidR="00EA79BF" w:rsidRPr="00597CD7" w:rsidRDefault="00EA79BF" w:rsidP="00EA79BF">
      <w:pPr>
        <w:pStyle w:val="FootnoteText"/>
        <w:rPr>
          <w:lang w:val="en-GB"/>
        </w:rPr>
      </w:pPr>
      <w:r w:rsidRPr="00597CD7">
        <w:rPr>
          <w:rStyle w:val="FootnoteReference"/>
        </w:rPr>
        <w:footnoteRef/>
      </w:r>
      <w:r w:rsidRPr="00597CD7">
        <w:t xml:space="preserve"> Ibid, mentioned source Sri Lanka Legal Aid Commission Budget, 2007-2008.</w:t>
      </w:r>
    </w:p>
  </w:footnote>
  <w:footnote w:id="19">
    <w:p w14:paraId="09DAA0D7" w14:textId="77777777" w:rsidR="00EA79BF" w:rsidRPr="00597CD7" w:rsidRDefault="00EA79BF" w:rsidP="00EA79BF">
      <w:pPr>
        <w:pStyle w:val="FootnoteText"/>
        <w:rPr>
          <w:lang w:val="en-GB"/>
        </w:rPr>
      </w:pPr>
      <w:r w:rsidRPr="00597CD7">
        <w:rPr>
          <w:rStyle w:val="FootnoteReference"/>
        </w:rPr>
        <w:footnoteRef/>
      </w:r>
      <w:r w:rsidRPr="00597CD7">
        <w:t xml:space="preserve"> The Legal Aid Sector in Sri Lanka: Searching for Sustainable Solutions A Mapping Of Legal Aid Services In Sri Lanka.2009.</w:t>
      </w:r>
    </w:p>
  </w:footnote>
  <w:footnote w:id="20">
    <w:p w14:paraId="23591972" w14:textId="77777777" w:rsidR="00EA79BF" w:rsidRPr="00597CD7" w:rsidRDefault="00EA79BF" w:rsidP="00EA79BF">
      <w:pPr>
        <w:pStyle w:val="FootnoteText"/>
        <w:rPr>
          <w:lang w:val="en-GB"/>
        </w:rPr>
      </w:pPr>
      <w:r w:rsidRPr="00597CD7">
        <w:rPr>
          <w:rStyle w:val="FootnoteReference"/>
        </w:rPr>
        <w:footnoteRef/>
      </w:r>
      <w:r w:rsidRPr="00597CD7">
        <w:t xml:space="preserve"> Source: Ministry of Justice Sri Lanka, 2023.</w:t>
      </w:r>
    </w:p>
  </w:footnote>
  <w:footnote w:id="21">
    <w:p w14:paraId="2C31ECE1" w14:textId="77777777" w:rsidR="00EA79BF" w:rsidRPr="00597CD7" w:rsidRDefault="00EA79BF" w:rsidP="00EA79BF">
      <w:pPr>
        <w:pStyle w:val="FootnoteText"/>
        <w:rPr>
          <w:lang w:val="en-GB"/>
        </w:rPr>
      </w:pPr>
      <w:r w:rsidRPr="00597CD7">
        <w:rPr>
          <w:rStyle w:val="FootnoteReference"/>
        </w:rPr>
        <w:footnoteRef/>
      </w:r>
      <w:r w:rsidRPr="00597CD7">
        <w:t xml:space="preserve"> Source: Sri Lanka Judiciary Annual Report, 2023.</w:t>
      </w:r>
    </w:p>
  </w:footnote>
  <w:footnote w:id="22">
    <w:p w14:paraId="12592BA3" w14:textId="77777777" w:rsidR="00EA79BF" w:rsidRPr="00597CD7" w:rsidRDefault="00EA79BF" w:rsidP="00EA79BF">
      <w:pPr>
        <w:pStyle w:val="FootnoteText"/>
      </w:pPr>
      <w:r w:rsidRPr="00597CD7">
        <w:footnoteRef/>
      </w:r>
      <w:r w:rsidRPr="00597CD7">
        <w:t xml:space="preserve"> Source: Department of Prisons, Sri Lanka, April 2020 Report)</w:t>
      </w:r>
    </w:p>
  </w:footnote>
  <w:footnote w:id="23">
    <w:p w14:paraId="01EBD307" w14:textId="77777777" w:rsidR="00EA79BF" w:rsidRPr="00597CD7" w:rsidRDefault="00EA79BF" w:rsidP="00EA79BF">
      <w:pPr>
        <w:pStyle w:val="FootnoteText"/>
      </w:pPr>
      <w:r w:rsidRPr="00597CD7">
        <w:footnoteRef/>
      </w:r>
      <w:r w:rsidRPr="00597CD7">
        <w:t xml:space="preserve"> Source: Sri Lanka Bar Association Justice Sector Analysis, 2022)</w:t>
      </w:r>
    </w:p>
  </w:footnote>
  <w:footnote w:id="24">
    <w:p w14:paraId="4F0B599B" w14:textId="77777777" w:rsidR="00EA79BF" w:rsidRPr="00597CD7" w:rsidRDefault="00EA79BF" w:rsidP="00EA79BF">
      <w:pPr>
        <w:pStyle w:val="FootnoteText"/>
        <w:rPr>
          <w:lang w:val="en-GB"/>
        </w:rPr>
      </w:pPr>
      <w:r w:rsidRPr="00597CD7">
        <w:rPr>
          <w:rStyle w:val="FootnoteReference"/>
        </w:rPr>
        <w:footnoteRef/>
      </w:r>
      <w:r w:rsidRPr="00597CD7">
        <w:t xml:space="preserve"> Source: Ministry of Justice Statistics, 2022</w:t>
      </w:r>
    </w:p>
  </w:footnote>
  <w:footnote w:id="25">
    <w:p w14:paraId="017973A5" w14:textId="77777777" w:rsidR="00EA79BF" w:rsidRPr="00597CD7" w:rsidRDefault="00EA79BF" w:rsidP="00EA79BF">
      <w:pPr>
        <w:pStyle w:val="FootnoteText"/>
        <w:rPr>
          <w:lang w:val="en-GB"/>
        </w:rPr>
      </w:pPr>
      <w:r w:rsidRPr="00597CD7">
        <w:rPr>
          <w:rStyle w:val="FootnoteReference"/>
        </w:rPr>
        <w:footnoteRef/>
      </w:r>
      <w:r w:rsidRPr="00597CD7">
        <w:t xml:space="preserve"> </w:t>
      </w:r>
      <w:r w:rsidRPr="00597CD7">
        <w:rPr>
          <w:lang w:val="en-GB"/>
        </w:rPr>
        <w:t>Ibid.</w:t>
      </w:r>
    </w:p>
  </w:footnote>
  <w:footnote w:id="26">
    <w:p w14:paraId="2B562D60" w14:textId="77777777" w:rsidR="00EA79BF" w:rsidRPr="00597CD7" w:rsidRDefault="00EA79BF" w:rsidP="00EA79BF">
      <w:pPr>
        <w:tabs>
          <w:tab w:val="left" w:pos="1440"/>
        </w:tabs>
        <w:jc w:val="both"/>
        <w:rPr>
          <w:rFonts w:eastAsia="AppleGothic"/>
          <w:snapToGrid w:val="0"/>
          <w:sz w:val="18"/>
          <w:szCs w:val="18"/>
        </w:rPr>
      </w:pPr>
      <w:r w:rsidRPr="00597CD7">
        <w:rPr>
          <w:rStyle w:val="FootnoteReference"/>
          <w:sz w:val="18"/>
          <w:szCs w:val="18"/>
        </w:rPr>
        <w:footnoteRef/>
      </w:r>
      <w:r w:rsidRPr="00597CD7">
        <w:rPr>
          <w:sz w:val="18"/>
          <w:szCs w:val="18"/>
        </w:rPr>
        <w:t xml:space="preserve"> </w:t>
      </w:r>
      <w:r w:rsidRPr="00597CD7">
        <w:rPr>
          <w:rFonts w:eastAsia="AppleGothic"/>
          <w:snapToGrid w:val="0"/>
          <w:sz w:val="18"/>
          <w:szCs w:val="18"/>
        </w:rPr>
        <w:t>Source: Community Mediation Board Annual Report, 2023.</w:t>
      </w:r>
    </w:p>
  </w:footnote>
  <w:footnote w:id="27">
    <w:p w14:paraId="24178AB4" w14:textId="77777777" w:rsidR="00EA79BF" w:rsidRPr="00597CD7" w:rsidRDefault="00EA79BF" w:rsidP="00EA79BF">
      <w:pPr>
        <w:pStyle w:val="FootnoteText"/>
        <w:rPr>
          <w:rFonts w:eastAsia="Times New Roman"/>
          <w:snapToGrid/>
        </w:rPr>
      </w:pPr>
      <w:r w:rsidRPr="00597CD7">
        <w:rPr>
          <w:rStyle w:val="FootnoteReference"/>
        </w:rPr>
        <w:footnoteRef/>
      </w:r>
      <w:r w:rsidRPr="00597CD7">
        <w:t>Source: Community Mediation Board Report, 2009, mentioned in The Legal Aid Sector in Sri Lanka: Searching for</w:t>
      </w:r>
      <w:r w:rsidRPr="00597CD7">
        <w:rPr>
          <w:rFonts w:eastAsia="Times New Roman"/>
          <w:snapToGrid/>
        </w:rPr>
        <w:t xml:space="preserve"> Sustainable Solutions: A Mapping Of Legal Aid Services In Sri Lanka.</w:t>
      </w:r>
      <w:r w:rsidRPr="00597CD7">
        <w:t xml:space="preserve"> </w:t>
      </w:r>
      <w:r w:rsidRPr="00597CD7">
        <w:rPr>
          <w:rFonts w:eastAsia="Times New Roman"/>
          <w:snapToGrid/>
        </w:rPr>
        <w:t>The Asia Foundation UNDP Equal Access to Justice Project UNHCR Ministry of Constitutional Affairs and National Integration Ministry of Justice and Law Reform.2009.</w:t>
      </w:r>
    </w:p>
  </w:footnote>
  <w:footnote w:id="28">
    <w:p w14:paraId="3630DDAA" w14:textId="77777777" w:rsidR="00EA79BF" w:rsidRPr="00597CD7" w:rsidRDefault="00EA79BF" w:rsidP="00EA79BF">
      <w:pPr>
        <w:pStyle w:val="FootnoteText"/>
        <w:rPr>
          <w:lang w:val="en-GB"/>
        </w:rPr>
      </w:pPr>
      <w:r w:rsidRPr="00597CD7">
        <w:rPr>
          <w:rStyle w:val="FootnoteReference"/>
        </w:rPr>
        <w:footnoteRef/>
      </w:r>
      <w:r w:rsidRPr="00597CD7">
        <w:t xml:space="preserve"> Jayaweera, A. J. M. P. S. K. (2024). The path to E-judiciary: where does Sri Lanka stand? </w:t>
      </w:r>
      <w:r w:rsidRPr="00597CD7">
        <w:rPr>
          <w:i/>
          <w:iCs/>
        </w:rPr>
        <w:t>Brazilian Journal of Development</w:t>
      </w:r>
      <w:r w:rsidRPr="00597CD7">
        <w:t>, </w:t>
      </w:r>
      <w:r w:rsidRPr="00597CD7">
        <w:rPr>
          <w:i/>
          <w:iCs/>
        </w:rPr>
        <w:t>10</w:t>
      </w:r>
      <w:r>
        <w:rPr>
          <w:i/>
          <w:iCs/>
        </w:rPr>
        <w:t xml:space="preserve"> </w:t>
      </w:r>
      <w:r w:rsidRPr="00597CD7">
        <w:t>(3), e68487.</w:t>
      </w:r>
    </w:p>
  </w:footnote>
  <w:footnote w:id="29">
    <w:p w14:paraId="0BB4A2C8" w14:textId="77777777" w:rsidR="00EA79BF" w:rsidRPr="00597CD7" w:rsidRDefault="00EA79BF" w:rsidP="00EA79BF">
      <w:pPr>
        <w:pStyle w:val="FootnoteText"/>
        <w:rPr>
          <w:lang w:val="en-GB"/>
        </w:rPr>
      </w:pPr>
      <w:r w:rsidRPr="00597CD7">
        <w:rPr>
          <w:rStyle w:val="FootnoteReference"/>
        </w:rPr>
        <w:footnoteRef/>
      </w:r>
      <w:r w:rsidRPr="00597CD7">
        <w:t xml:space="preserve"> </w:t>
      </w:r>
      <w:r w:rsidRPr="00597CD7">
        <w:rPr>
          <w:lang w:val="en-GB"/>
        </w:rPr>
        <w:t>Discussion with the national stakeholders.</w:t>
      </w:r>
    </w:p>
  </w:footnote>
  <w:footnote w:id="30">
    <w:p w14:paraId="2BD5908C" w14:textId="77777777" w:rsidR="00EA79BF" w:rsidRPr="00597CD7" w:rsidRDefault="00EA79BF" w:rsidP="00EA79BF">
      <w:pPr>
        <w:pStyle w:val="FootnoteText"/>
        <w:rPr>
          <w:lang w:val="en-GB"/>
        </w:rPr>
      </w:pPr>
      <w:r w:rsidRPr="00597CD7">
        <w:rPr>
          <w:rStyle w:val="FootnoteReference"/>
        </w:rPr>
        <w:footnoteRef/>
      </w:r>
      <w:r w:rsidRPr="00597CD7">
        <w:t xml:space="preserve"> </w:t>
      </w:r>
      <w:r w:rsidRPr="00597CD7">
        <w:rPr>
          <w:lang w:val="en-GB"/>
        </w:rPr>
        <w:t>Ibid.</w:t>
      </w:r>
    </w:p>
  </w:footnote>
  <w:footnote w:id="31">
    <w:p w14:paraId="2CAEDC1F" w14:textId="364003C2" w:rsidR="00F73416" w:rsidRPr="009D22EB" w:rsidRDefault="00F73416" w:rsidP="00C900FD">
      <w:pPr>
        <w:pStyle w:val="FootnoteText"/>
        <w:jc w:val="both"/>
        <w:rPr>
          <w:sz w:val="16"/>
          <w:szCs w:val="16"/>
          <w:lang w:val="en-GB"/>
        </w:rPr>
      </w:pPr>
      <w:r w:rsidRPr="009D22EB">
        <w:rPr>
          <w:rStyle w:val="FootnoteReference"/>
          <w:sz w:val="16"/>
          <w:szCs w:val="16"/>
        </w:rPr>
        <w:footnoteRef/>
      </w:r>
      <w:r w:rsidRPr="009D22EB">
        <w:rPr>
          <w:sz w:val="16"/>
          <w:szCs w:val="16"/>
        </w:rPr>
        <w:t xml:space="preserve"> Central Bank of Sri Lanka, Annual Report, Volume I 2021., cited in UNICEF, </w:t>
      </w:r>
      <w:r w:rsidRPr="009D22EB">
        <w:rPr>
          <w:i/>
          <w:iCs/>
          <w:sz w:val="16"/>
          <w:szCs w:val="16"/>
        </w:rPr>
        <w:t>Sri Lanka Country Programme Document 2023–2027</w:t>
      </w:r>
      <w:r w:rsidRPr="009D22EB">
        <w:rPr>
          <w:sz w:val="16"/>
          <w:szCs w:val="16"/>
        </w:rPr>
        <w:t xml:space="preserve"> (UNICEF Executive Board, 2022) </w:t>
      </w:r>
      <w:hyperlink r:id="rId1" w:tgtFrame="_new" w:history="1">
        <w:r w:rsidRPr="009D22EB">
          <w:rPr>
            <w:rStyle w:val="Hyperlink"/>
            <w:sz w:val="16"/>
            <w:szCs w:val="16"/>
          </w:rPr>
          <w:t>https://www.unicef.org/executiveboard/media/12511/file/2022-PL37-Sri_Lanka_CPD-EN-ODS.pdf</w:t>
        </w:r>
      </w:hyperlink>
      <w:r w:rsidRPr="009D22EB">
        <w:rPr>
          <w:sz w:val="16"/>
          <w:szCs w:val="16"/>
        </w:rPr>
        <w:t xml:space="preserve"> accessed &lt;&lt;4.02.2025&gt;&gt;.</w:t>
      </w:r>
    </w:p>
  </w:footnote>
  <w:footnote w:id="32">
    <w:p w14:paraId="51ACEF18" w14:textId="4EF2D163" w:rsidR="00F73416" w:rsidRPr="009D22EB" w:rsidRDefault="00F73416" w:rsidP="00C900FD">
      <w:pPr>
        <w:pStyle w:val="FootnoteText"/>
        <w:jc w:val="both"/>
        <w:rPr>
          <w:sz w:val="16"/>
          <w:szCs w:val="16"/>
          <w:lang w:val="en-GB"/>
        </w:rPr>
      </w:pPr>
      <w:r w:rsidRPr="009D22EB">
        <w:rPr>
          <w:rStyle w:val="FootnoteReference"/>
          <w:sz w:val="16"/>
          <w:szCs w:val="16"/>
        </w:rPr>
        <w:footnoteRef/>
      </w:r>
      <w:r w:rsidRPr="009D22EB">
        <w:rPr>
          <w:sz w:val="16"/>
          <w:szCs w:val="16"/>
        </w:rPr>
        <w:t xml:space="preserve"> See: Contribution Agreement ACA/2021/425-459</w:t>
      </w:r>
    </w:p>
  </w:footnote>
  <w:footnote w:id="33">
    <w:p w14:paraId="4450BCEC" w14:textId="5BA5CACB" w:rsidR="00F73416" w:rsidRPr="009D22EB" w:rsidRDefault="00F73416" w:rsidP="00C900FD">
      <w:pPr>
        <w:pStyle w:val="FootnoteText"/>
        <w:jc w:val="both"/>
        <w:rPr>
          <w:sz w:val="16"/>
          <w:szCs w:val="16"/>
          <w:lang w:val="en-GB"/>
        </w:rPr>
      </w:pPr>
      <w:r w:rsidRPr="009D22EB">
        <w:rPr>
          <w:rStyle w:val="FootnoteReference"/>
          <w:sz w:val="16"/>
          <w:szCs w:val="16"/>
        </w:rPr>
        <w:footnoteRef/>
      </w:r>
      <w:r w:rsidRPr="009D22EB">
        <w:rPr>
          <w:sz w:val="16"/>
          <w:szCs w:val="16"/>
        </w:rPr>
        <w:t xml:space="preserve"> </w:t>
      </w:r>
      <w:r w:rsidRPr="009D22EB">
        <w:rPr>
          <w:sz w:val="16"/>
          <w:szCs w:val="16"/>
          <w:lang w:val="en-GB"/>
        </w:rPr>
        <w:t>Ibid</w:t>
      </w:r>
    </w:p>
  </w:footnote>
  <w:footnote w:id="34">
    <w:p w14:paraId="6A14A902" w14:textId="1C032398" w:rsidR="00F73416" w:rsidRPr="009D22EB" w:rsidRDefault="00F73416" w:rsidP="00C900FD">
      <w:pPr>
        <w:pStyle w:val="FootnoteText"/>
        <w:jc w:val="both"/>
        <w:rPr>
          <w:sz w:val="16"/>
          <w:szCs w:val="16"/>
          <w:lang w:val="en-GB"/>
        </w:rPr>
      </w:pPr>
      <w:r w:rsidRPr="009D22EB">
        <w:rPr>
          <w:rStyle w:val="FootnoteReference"/>
          <w:sz w:val="16"/>
          <w:szCs w:val="16"/>
        </w:rPr>
        <w:footnoteRef/>
      </w:r>
      <w:r w:rsidRPr="009D22EB">
        <w:rPr>
          <w:sz w:val="16"/>
          <w:szCs w:val="16"/>
        </w:rPr>
        <w:t xml:space="preserve"> </w:t>
      </w:r>
      <w:r w:rsidRPr="009D22EB">
        <w:rPr>
          <w:sz w:val="16"/>
          <w:szCs w:val="16"/>
          <w:lang w:val="en-GB"/>
        </w:rPr>
        <w:t>Ibid</w:t>
      </w:r>
    </w:p>
  </w:footnote>
  <w:footnote w:id="35">
    <w:p w14:paraId="03EB6E78" w14:textId="3D3516C1" w:rsidR="00736936" w:rsidRPr="00ED60BB" w:rsidRDefault="00736936">
      <w:pPr>
        <w:pStyle w:val="FootnoteText"/>
        <w:rPr>
          <w:sz w:val="16"/>
          <w:szCs w:val="16"/>
          <w:lang w:val="en-GB"/>
        </w:rPr>
      </w:pPr>
      <w:r>
        <w:rPr>
          <w:rStyle w:val="FootnoteReference"/>
        </w:rPr>
        <w:footnoteRef/>
      </w:r>
      <w:r>
        <w:t xml:space="preserve"> </w:t>
      </w:r>
      <w:r w:rsidRPr="00ED60BB">
        <w:rPr>
          <w:sz w:val="16"/>
          <w:szCs w:val="16"/>
          <w:lang w:val="en-GB"/>
        </w:rPr>
        <w:t>ROAR document</w:t>
      </w:r>
    </w:p>
  </w:footnote>
  <w:footnote w:id="36">
    <w:p w14:paraId="06041A05" w14:textId="27CB78AC" w:rsidR="00736936" w:rsidRPr="00ED60BB" w:rsidRDefault="00736936">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ROAR document.</w:t>
      </w:r>
    </w:p>
  </w:footnote>
  <w:footnote w:id="37">
    <w:p w14:paraId="113B09C6" w14:textId="77777777" w:rsidR="00736936" w:rsidRPr="00ED60BB" w:rsidRDefault="00736936" w:rsidP="00736936">
      <w:pPr>
        <w:pStyle w:val="FootnoteText"/>
        <w:rPr>
          <w:sz w:val="16"/>
          <w:szCs w:val="16"/>
        </w:rPr>
      </w:pPr>
      <w:r w:rsidRPr="00ED60BB">
        <w:rPr>
          <w:rStyle w:val="FootnoteReference"/>
          <w:sz w:val="16"/>
          <w:szCs w:val="16"/>
        </w:rPr>
        <w:footnoteRef/>
      </w:r>
      <w:r w:rsidRPr="00ED60BB">
        <w:rPr>
          <w:sz w:val="16"/>
          <w:szCs w:val="16"/>
        </w:rPr>
        <w:t xml:space="preserve"> Source: JURE</w:t>
      </w:r>
    </w:p>
  </w:footnote>
  <w:footnote w:id="38">
    <w:p w14:paraId="20F2A109" w14:textId="77777777" w:rsidR="00736936" w:rsidRPr="00ED60BB" w:rsidRDefault="00736936" w:rsidP="00736936">
      <w:pPr>
        <w:pStyle w:val="FootnoteText"/>
        <w:rPr>
          <w:sz w:val="16"/>
          <w:szCs w:val="16"/>
        </w:rPr>
      </w:pPr>
      <w:r w:rsidRPr="00ED60BB">
        <w:rPr>
          <w:rStyle w:val="FootnoteReference"/>
          <w:sz w:val="16"/>
          <w:szCs w:val="16"/>
        </w:rPr>
        <w:footnoteRef/>
      </w:r>
      <w:r w:rsidRPr="00ED60BB">
        <w:rPr>
          <w:sz w:val="16"/>
          <w:szCs w:val="16"/>
        </w:rPr>
        <w:t xml:space="preserve"> Source: JURE</w:t>
      </w:r>
    </w:p>
  </w:footnote>
  <w:footnote w:id="39">
    <w:p w14:paraId="1718A147" w14:textId="77777777" w:rsidR="00736936" w:rsidRPr="00ED60BB" w:rsidRDefault="00736936" w:rsidP="00736936">
      <w:pPr>
        <w:pStyle w:val="FootnoteText"/>
        <w:rPr>
          <w:sz w:val="16"/>
          <w:szCs w:val="16"/>
        </w:rPr>
      </w:pPr>
      <w:r w:rsidRPr="00ED60BB">
        <w:rPr>
          <w:rStyle w:val="FootnoteReference"/>
          <w:sz w:val="16"/>
          <w:szCs w:val="16"/>
        </w:rPr>
        <w:footnoteRef/>
      </w:r>
      <w:r w:rsidRPr="00ED60BB">
        <w:rPr>
          <w:sz w:val="16"/>
          <w:szCs w:val="16"/>
        </w:rPr>
        <w:t xml:space="preserve"> Source: JURE and discussions with the national partners.</w:t>
      </w:r>
    </w:p>
  </w:footnote>
  <w:footnote w:id="40">
    <w:p w14:paraId="26EFCD74" w14:textId="77777777" w:rsidR="00736936" w:rsidRPr="00ED60BB" w:rsidRDefault="00736936" w:rsidP="00736936">
      <w:pPr>
        <w:pStyle w:val="FootnoteText"/>
        <w:rPr>
          <w:sz w:val="16"/>
          <w:szCs w:val="16"/>
        </w:rPr>
      </w:pPr>
      <w:r w:rsidRPr="00ED60BB">
        <w:rPr>
          <w:rStyle w:val="FootnoteReference"/>
          <w:sz w:val="16"/>
          <w:szCs w:val="16"/>
        </w:rPr>
        <w:footnoteRef/>
      </w:r>
      <w:r w:rsidRPr="00ED60BB">
        <w:rPr>
          <w:sz w:val="16"/>
          <w:szCs w:val="16"/>
        </w:rPr>
        <w:t xml:space="preserve"> Source: KII with the national stakeholders.</w:t>
      </w:r>
    </w:p>
  </w:footnote>
  <w:footnote w:id="41">
    <w:p w14:paraId="58A99881" w14:textId="77777777" w:rsidR="00736936" w:rsidRPr="00ED60BB" w:rsidRDefault="00736936" w:rsidP="00736936">
      <w:pPr>
        <w:pStyle w:val="FootnoteText"/>
        <w:rPr>
          <w:sz w:val="16"/>
          <w:szCs w:val="16"/>
        </w:rPr>
      </w:pPr>
      <w:r w:rsidRPr="00ED60BB">
        <w:rPr>
          <w:rStyle w:val="FootnoteReference"/>
          <w:sz w:val="16"/>
          <w:szCs w:val="16"/>
        </w:rPr>
        <w:footnoteRef/>
      </w:r>
      <w:r w:rsidRPr="00ED60BB">
        <w:rPr>
          <w:sz w:val="16"/>
          <w:szCs w:val="16"/>
        </w:rPr>
        <w:t xml:space="preserve"> Country programme document for Sri Lanka 2023-2027. UNDP</w:t>
      </w:r>
    </w:p>
  </w:footnote>
  <w:footnote w:id="42">
    <w:p w14:paraId="50D2435B" w14:textId="0AB6BF60" w:rsidR="00F73416" w:rsidRPr="00ED60BB" w:rsidRDefault="00F73416" w:rsidP="00F73416">
      <w:pPr>
        <w:pStyle w:val="FootnoteText"/>
        <w:rPr>
          <w:sz w:val="16"/>
          <w:szCs w:val="16"/>
          <w:lang w:val="en-GB"/>
        </w:rPr>
      </w:pPr>
      <w:r w:rsidRPr="00ED60BB">
        <w:rPr>
          <w:rStyle w:val="FootnoteReference"/>
          <w:sz w:val="16"/>
          <w:szCs w:val="16"/>
        </w:rPr>
        <w:footnoteRef/>
      </w:r>
      <w:r w:rsidRPr="00ED60BB">
        <w:rPr>
          <w:sz w:val="16"/>
          <w:szCs w:val="16"/>
        </w:rPr>
        <w:t xml:space="preserve"> The </w:t>
      </w:r>
      <w:r w:rsidR="00EC57B7" w:rsidRPr="00ED60BB">
        <w:rPr>
          <w:sz w:val="16"/>
          <w:szCs w:val="16"/>
        </w:rPr>
        <w:t>indicative</w:t>
      </w:r>
      <w:r w:rsidRPr="00ED60BB">
        <w:rPr>
          <w:sz w:val="16"/>
          <w:szCs w:val="16"/>
        </w:rPr>
        <w:t xml:space="preserve"> outputs include: </w:t>
      </w:r>
      <w:r w:rsidRPr="00ED60BB">
        <w:rPr>
          <w:sz w:val="16"/>
          <w:szCs w:val="16"/>
          <w:lang w:val="en-GB"/>
        </w:rPr>
        <w:t xml:space="preserve">Strengthened Child Protection Systems: Supports policies and mechanisms to prevent and respond to child abuse, neglect, and </w:t>
      </w:r>
      <w:r w:rsidR="00C63A0D" w:rsidRPr="00ED60BB">
        <w:rPr>
          <w:sz w:val="16"/>
          <w:szCs w:val="16"/>
          <w:lang w:val="en-GB"/>
        </w:rPr>
        <w:t>exploitation; Enhanced</w:t>
      </w:r>
      <w:r w:rsidRPr="00ED60BB">
        <w:rPr>
          <w:sz w:val="16"/>
          <w:szCs w:val="16"/>
          <w:lang w:val="en-GB"/>
        </w:rPr>
        <w:t xml:space="preserve"> Legal and Policy Frameworks: Advocates for child-friendly legal reforms and alternative measures to </w:t>
      </w:r>
      <w:r w:rsidR="00EC57B7" w:rsidRPr="00ED60BB">
        <w:rPr>
          <w:sz w:val="16"/>
          <w:szCs w:val="16"/>
          <w:lang w:val="en-GB"/>
        </w:rPr>
        <w:t>detention; Capacity</w:t>
      </w:r>
      <w:r w:rsidRPr="00ED60BB">
        <w:rPr>
          <w:sz w:val="16"/>
          <w:szCs w:val="16"/>
          <w:lang w:val="en-GB"/>
        </w:rPr>
        <w:t xml:space="preserve"> Building for Justice Sector Professionals: Trains judges, prosecutors, and law enforcement on child-sensitive </w:t>
      </w:r>
      <w:r w:rsidR="00EC57B7" w:rsidRPr="00ED60BB">
        <w:rPr>
          <w:sz w:val="16"/>
          <w:szCs w:val="16"/>
          <w:lang w:val="en-GB"/>
        </w:rPr>
        <w:t>procedures; Improved</w:t>
      </w:r>
      <w:r w:rsidRPr="00ED60BB">
        <w:rPr>
          <w:sz w:val="16"/>
          <w:szCs w:val="16"/>
          <w:lang w:val="en-GB"/>
        </w:rPr>
        <w:t xml:space="preserve"> Data Collection and Monitoring: Establishes systems for tracking and evaluating justice sector interventions for children. Source: </w:t>
      </w:r>
      <w:r w:rsidRPr="00ED60BB">
        <w:rPr>
          <w:b/>
          <w:bCs/>
          <w:sz w:val="16"/>
          <w:szCs w:val="16"/>
        </w:rPr>
        <w:t>UNICEF,</w:t>
      </w:r>
      <w:r w:rsidRPr="00ED60BB">
        <w:rPr>
          <w:sz w:val="16"/>
          <w:szCs w:val="16"/>
        </w:rPr>
        <w:t xml:space="preserve"> </w:t>
      </w:r>
      <w:r w:rsidRPr="00ED60BB">
        <w:rPr>
          <w:i/>
          <w:iCs/>
          <w:sz w:val="16"/>
          <w:szCs w:val="16"/>
        </w:rPr>
        <w:t xml:space="preserve">Sri Lanka Country </w:t>
      </w:r>
      <w:r w:rsidR="00EC57B7" w:rsidRPr="00ED60BB">
        <w:rPr>
          <w:i/>
          <w:iCs/>
          <w:sz w:val="16"/>
          <w:szCs w:val="16"/>
        </w:rPr>
        <w:t>Programmed</w:t>
      </w:r>
      <w:r w:rsidRPr="00ED60BB">
        <w:rPr>
          <w:i/>
          <w:iCs/>
          <w:sz w:val="16"/>
          <w:szCs w:val="16"/>
        </w:rPr>
        <w:t xml:space="preserve"> Document 2023–2027</w:t>
      </w:r>
      <w:r w:rsidRPr="00ED60BB">
        <w:rPr>
          <w:sz w:val="16"/>
          <w:szCs w:val="16"/>
        </w:rPr>
        <w:t xml:space="preserve"> (UNICEF Executive Board, 2022) </w:t>
      </w:r>
      <w:hyperlink r:id="rId2" w:tgtFrame="_new" w:history="1">
        <w:r w:rsidRPr="00ED60BB">
          <w:rPr>
            <w:rStyle w:val="Hyperlink"/>
            <w:sz w:val="16"/>
            <w:szCs w:val="16"/>
          </w:rPr>
          <w:t>https://www.unicef.org/executiveboard/media/12511/file/2022-PL37-Sri_Lanka_CPD-EN-ODS.pdf</w:t>
        </w:r>
      </w:hyperlink>
      <w:r w:rsidRPr="00ED60BB">
        <w:rPr>
          <w:sz w:val="16"/>
          <w:szCs w:val="16"/>
        </w:rPr>
        <w:t xml:space="preserve"> accessed [4.02.2025].</w:t>
      </w:r>
    </w:p>
    <w:p w14:paraId="2D6ECF55" w14:textId="77777777" w:rsidR="00F73416" w:rsidRPr="00ED60BB" w:rsidRDefault="00F73416" w:rsidP="00F73416">
      <w:pPr>
        <w:pStyle w:val="FootnoteText"/>
        <w:rPr>
          <w:sz w:val="16"/>
          <w:szCs w:val="16"/>
          <w:lang w:val="en-GB"/>
        </w:rPr>
      </w:pPr>
    </w:p>
  </w:footnote>
  <w:footnote w:id="43">
    <w:p w14:paraId="7D4C83FF" w14:textId="77777777" w:rsidR="00736936" w:rsidRPr="006274C4" w:rsidRDefault="00736936" w:rsidP="00736936">
      <w:pPr>
        <w:tabs>
          <w:tab w:val="num" w:pos="1440"/>
        </w:tabs>
        <w:rPr>
          <w:color w:val="000000" w:themeColor="text1"/>
          <w:sz w:val="16"/>
          <w:szCs w:val="16"/>
        </w:rPr>
      </w:pPr>
      <w:r w:rsidRPr="002D0251">
        <w:rPr>
          <w:rStyle w:val="FootnoteReference"/>
          <w:sz w:val="16"/>
          <w:szCs w:val="16"/>
        </w:rPr>
        <w:footnoteRef/>
      </w:r>
      <w:r w:rsidRPr="002D0251">
        <w:rPr>
          <w:sz w:val="16"/>
          <w:szCs w:val="16"/>
        </w:rPr>
        <w:t xml:space="preserve"> </w:t>
      </w:r>
      <w:r w:rsidRPr="002D0251">
        <w:rPr>
          <w:color w:val="000000" w:themeColor="text1"/>
          <w:sz w:val="16"/>
          <w:szCs w:val="16"/>
        </w:rPr>
        <w:t>United Nations Sustainable Development Cooperation Framework (Cooperation Framework) for 2023-2027</w:t>
      </w:r>
    </w:p>
  </w:footnote>
  <w:footnote w:id="44">
    <w:p w14:paraId="792791E0" w14:textId="5EDBE404" w:rsidR="00AB05AD" w:rsidRDefault="00AB05AD">
      <w:pPr>
        <w:pStyle w:val="FootnoteText"/>
      </w:pPr>
      <w:r>
        <w:rPr>
          <w:rStyle w:val="FootnoteReference"/>
        </w:rPr>
        <w:footnoteRef/>
      </w:r>
      <w:r>
        <w:t xml:space="preserve"> Planning </w:t>
      </w:r>
      <w:r w:rsidR="009E2B5C">
        <w:t>Letter. Support</w:t>
      </w:r>
      <w:r>
        <w:t xml:space="preserve"> to Justice in Sri Lanka. 26.11.2020. </w:t>
      </w:r>
      <w:r w:rsidR="009E2B5C">
        <w:t>Department</w:t>
      </w:r>
      <w:r>
        <w:t xml:space="preserve"> of National Planning. MoF.</w:t>
      </w:r>
    </w:p>
  </w:footnote>
  <w:footnote w:id="45">
    <w:p w14:paraId="752180C8" w14:textId="6E208DE2" w:rsidR="00683712" w:rsidRPr="00312988" w:rsidRDefault="00683712">
      <w:pPr>
        <w:pStyle w:val="FootnoteText"/>
      </w:pPr>
      <w:r>
        <w:rPr>
          <w:rStyle w:val="FootnoteReference"/>
        </w:rPr>
        <w:footnoteRef/>
      </w:r>
      <w:r>
        <w:t xml:space="preserve"> </w:t>
      </w:r>
      <w:r w:rsidR="00312988">
        <w:t>See:</w:t>
      </w:r>
      <w:r w:rsidR="00312988" w:rsidRPr="00312988">
        <w:rPr>
          <w:rFonts w:eastAsia="SimSun"/>
          <w:snapToGrid/>
          <w:sz w:val="22"/>
          <w:szCs w:val="22"/>
          <w:lang w:eastAsia="zh-CN"/>
        </w:rPr>
        <w:t xml:space="preserve"> </w:t>
      </w:r>
      <w:r w:rsidR="00312988" w:rsidRPr="00312988">
        <w:t>Addendum No. 1 To Financing Agreement No. ACA/2019/041-735 Support to Justice Sector in Sri Lanka.</w:t>
      </w:r>
    </w:p>
  </w:footnote>
  <w:footnote w:id="46">
    <w:p w14:paraId="7B3BFDA3" w14:textId="328E5E60" w:rsidR="00312988" w:rsidRPr="00312988" w:rsidRDefault="00312988">
      <w:pPr>
        <w:pStyle w:val="FootnoteText"/>
      </w:pPr>
      <w:r w:rsidRPr="00312988">
        <w:rPr>
          <w:rStyle w:val="FootnoteReference"/>
        </w:rPr>
        <w:footnoteRef/>
      </w:r>
      <w:r w:rsidRPr="00312988">
        <w:t xml:space="preserve"> Standard Explanatory Note - Non-Substantial Rider To Commission Decision" Document Is From 2021.</w:t>
      </w:r>
    </w:p>
  </w:footnote>
  <w:footnote w:id="47">
    <w:p w14:paraId="58B980F4" w14:textId="2BFCB36E" w:rsidR="00F73416" w:rsidRPr="00C900FD" w:rsidRDefault="00F73416">
      <w:pPr>
        <w:pStyle w:val="FootnoteText"/>
        <w:rPr>
          <w:lang w:val="en-GB"/>
        </w:rPr>
      </w:pPr>
      <w:r>
        <w:rPr>
          <w:rStyle w:val="FootnoteReference"/>
        </w:rPr>
        <w:footnoteRef/>
      </w:r>
      <w:r>
        <w:t xml:space="preserve"> </w:t>
      </w:r>
      <w:r>
        <w:rPr>
          <w:lang w:val="en-GB"/>
        </w:rPr>
        <w:t>Source: discussion with the national stakeholders in Colombo, October 2024.</w:t>
      </w:r>
    </w:p>
  </w:footnote>
  <w:footnote w:id="48">
    <w:p w14:paraId="22FDE755" w14:textId="41B29F8F" w:rsidR="00E00949" w:rsidRPr="00E00949" w:rsidRDefault="00E00949">
      <w:pPr>
        <w:pStyle w:val="FootnoteText"/>
        <w:rPr>
          <w:lang w:val="en-GB"/>
        </w:rPr>
      </w:pPr>
      <w:r>
        <w:rPr>
          <w:rStyle w:val="FootnoteReference"/>
        </w:rPr>
        <w:footnoteRef/>
      </w:r>
      <w:r>
        <w:t xml:space="preserve"> JURE </w:t>
      </w:r>
      <w:r>
        <w:rPr>
          <w:lang w:val="en-GB"/>
        </w:rPr>
        <w:t>Annual Report 2023.</w:t>
      </w:r>
    </w:p>
  </w:footnote>
  <w:footnote w:id="49">
    <w:p w14:paraId="10538A30" w14:textId="69F39AEC" w:rsidR="00E00949" w:rsidRPr="00E00949" w:rsidRDefault="00E00949">
      <w:pPr>
        <w:pStyle w:val="FootnoteText"/>
        <w:rPr>
          <w:lang w:val="en-GB"/>
        </w:rPr>
      </w:pPr>
      <w:r>
        <w:rPr>
          <w:rStyle w:val="FootnoteReference"/>
        </w:rPr>
        <w:footnoteRef/>
      </w:r>
      <w:r>
        <w:t xml:space="preserve"> </w:t>
      </w:r>
      <w:r>
        <w:rPr>
          <w:lang w:val="en-GB"/>
        </w:rPr>
        <w:t xml:space="preserve">From the FGD with the national stakeholders and partners. </w:t>
      </w:r>
    </w:p>
  </w:footnote>
  <w:footnote w:id="50">
    <w:p w14:paraId="7E4CF996" w14:textId="45300087" w:rsidR="006274C4" w:rsidRPr="00A33CF5" w:rsidRDefault="006274C4" w:rsidP="00A33CF5">
      <w:pPr>
        <w:rPr>
          <w:rFonts w:asciiTheme="majorHAnsi" w:hAnsiTheme="majorHAnsi" w:cstheme="majorHAnsi"/>
          <w:sz w:val="16"/>
          <w:szCs w:val="16"/>
        </w:rPr>
      </w:pPr>
      <w:r w:rsidRPr="00A33CF5">
        <w:rPr>
          <w:rStyle w:val="FootnoteReference"/>
          <w:rFonts w:asciiTheme="majorHAnsi" w:hAnsiTheme="majorHAnsi" w:cstheme="majorHAnsi"/>
          <w:sz w:val="16"/>
          <w:szCs w:val="16"/>
        </w:rPr>
        <w:footnoteRef/>
      </w:r>
      <w:r w:rsidRPr="00A33CF5">
        <w:rPr>
          <w:rFonts w:asciiTheme="majorHAnsi" w:hAnsiTheme="majorHAnsi" w:cstheme="majorHAnsi"/>
          <w:sz w:val="16"/>
          <w:szCs w:val="16"/>
        </w:rPr>
        <w:t xml:space="preserve"> </w:t>
      </w:r>
      <w:r w:rsidRPr="00A33CF5">
        <w:rPr>
          <w:rFonts w:asciiTheme="majorHAnsi" w:hAnsiTheme="majorHAnsi" w:cstheme="majorHAnsi"/>
          <w:color w:val="000000" w:themeColor="text1"/>
          <w:sz w:val="16"/>
          <w:szCs w:val="16"/>
        </w:rPr>
        <w:t>P.76.</w:t>
      </w:r>
      <w:r w:rsidRPr="00A33CF5">
        <w:rPr>
          <w:rFonts w:asciiTheme="majorHAnsi" w:hAnsiTheme="majorHAnsi" w:cstheme="majorHAnsi"/>
          <w:color w:val="000000" w:themeColor="text1"/>
          <w:sz w:val="16"/>
          <w:szCs w:val="16"/>
          <w:lang w:val="en-GB"/>
        </w:rPr>
        <w:t xml:space="preserve"> Mid-term Evaluation cum Strategic Direction Setting of the UNDPs Portfolio on SDG 16+ Peace, Justice and Strong Institutions.</w:t>
      </w:r>
      <w:r w:rsidRPr="00A33CF5">
        <w:rPr>
          <w:rFonts w:asciiTheme="majorHAnsi" w:hAnsiTheme="majorHAnsi" w:cstheme="majorHAnsi"/>
          <w:color w:val="000000" w:themeColor="text1"/>
          <w:sz w:val="16"/>
          <w:szCs w:val="16"/>
        </w:rPr>
        <w:t xml:space="preserve"> </w:t>
      </w:r>
      <w:r w:rsidRPr="00A33CF5">
        <w:rPr>
          <w:rFonts w:asciiTheme="majorHAnsi" w:hAnsiTheme="majorHAnsi" w:cstheme="majorHAnsi"/>
          <w:color w:val="000000" w:themeColor="text1"/>
          <w:sz w:val="16"/>
          <w:szCs w:val="16"/>
          <w:lang w:val="en-GB"/>
        </w:rPr>
        <w:t xml:space="preserve">31 </w:t>
      </w:r>
      <w:proofErr w:type="gramStart"/>
      <w:r w:rsidRPr="00A33CF5">
        <w:rPr>
          <w:rFonts w:asciiTheme="majorHAnsi" w:hAnsiTheme="majorHAnsi" w:cstheme="majorHAnsi"/>
          <w:color w:val="000000" w:themeColor="text1"/>
          <w:sz w:val="16"/>
          <w:szCs w:val="16"/>
          <w:lang w:val="en-GB"/>
        </w:rPr>
        <w:t>Aug,</w:t>
      </w:r>
      <w:proofErr w:type="gramEnd"/>
      <w:r w:rsidRPr="00A33CF5">
        <w:rPr>
          <w:rFonts w:asciiTheme="majorHAnsi" w:hAnsiTheme="majorHAnsi" w:cstheme="majorHAnsi"/>
          <w:color w:val="000000" w:themeColor="text1"/>
          <w:sz w:val="16"/>
          <w:szCs w:val="16"/>
          <w:lang w:val="en-GB"/>
        </w:rPr>
        <w:t xml:space="preserve"> 2021</w:t>
      </w:r>
    </w:p>
  </w:footnote>
  <w:footnote w:id="51">
    <w:p w14:paraId="61025F16" w14:textId="1C78E7C3" w:rsidR="00CD60E5" w:rsidRPr="00ED60BB" w:rsidRDefault="00CD60E5" w:rsidP="00CD60E5">
      <w:pPr>
        <w:pStyle w:val="FootnoteText"/>
        <w:jc w:val="both"/>
        <w:rPr>
          <w:sz w:val="16"/>
          <w:szCs w:val="16"/>
        </w:rPr>
      </w:pPr>
      <w:r w:rsidRPr="00597CD7">
        <w:rPr>
          <w:rStyle w:val="FootnoteReference"/>
        </w:rPr>
        <w:footnoteRef/>
      </w:r>
      <w:r w:rsidRPr="00597CD7">
        <w:t xml:space="preserve"> </w:t>
      </w:r>
      <w:r w:rsidRPr="00ED60BB">
        <w:rPr>
          <w:sz w:val="16"/>
          <w:szCs w:val="16"/>
          <w:lang w:val="en-GB"/>
        </w:rPr>
        <w:t xml:space="preserve">Project goals: </w:t>
      </w:r>
      <w:r w:rsidRPr="00ED60BB">
        <w:rPr>
          <w:sz w:val="16"/>
          <w:szCs w:val="16"/>
        </w:rPr>
        <w:t>Introduce improved case-management practices and court-management systems and other tools</w:t>
      </w:r>
      <w:r w:rsidRPr="00ED60BB">
        <w:rPr>
          <w:b/>
          <w:bCs/>
          <w:sz w:val="16"/>
          <w:szCs w:val="16"/>
        </w:rPr>
        <w:t>,</w:t>
      </w:r>
      <w:r w:rsidRPr="00ED60BB">
        <w:rPr>
          <w:sz w:val="16"/>
          <w:szCs w:val="16"/>
        </w:rPr>
        <w:t xml:space="preserve"> Implement better mechanisms for public information sharing and community engagement</w:t>
      </w:r>
      <w:r w:rsidRPr="00ED60BB">
        <w:rPr>
          <w:b/>
          <w:bCs/>
          <w:sz w:val="16"/>
          <w:szCs w:val="16"/>
        </w:rPr>
        <w:t xml:space="preserve">, </w:t>
      </w:r>
      <w:r w:rsidRPr="00ED60BB">
        <w:rPr>
          <w:sz w:val="16"/>
          <w:szCs w:val="16"/>
        </w:rPr>
        <w:t>Improve the quality of legal education curricula, instruction, and learning</w:t>
      </w:r>
      <w:r w:rsidRPr="00ED60BB">
        <w:rPr>
          <w:b/>
          <w:bCs/>
          <w:sz w:val="16"/>
          <w:szCs w:val="16"/>
        </w:rPr>
        <w:t xml:space="preserve">, </w:t>
      </w:r>
      <w:r w:rsidR="009E2B5C" w:rsidRPr="00ED60BB">
        <w:rPr>
          <w:sz w:val="16"/>
          <w:szCs w:val="16"/>
        </w:rPr>
        <w:t>Strengthen opportunities</w:t>
      </w:r>
      <w:r w:rsidRPr="00ED60BB">
        <w:rPr>
          <w:sz w:val="16"/>
          <w:szCs w:val="16"/>
        </w:rPr>
        <w:t xml:space="preserve"> for professional and skills development for non-judicial personnel and continuing education for judicial and legal professionals</w:t>
      </w:r>
    </w:p>
    <w:p w14:paraId="693E3642" w14:textId="31EC5357" w:rsidR="00CD60E5" w:rsidRPr="00ED60BB" w:rsidRDefault="00CD60E5" w:rsidP="002E468D">
      <w:pPr>
        <w:pStyle w:val="FootnoteText"/>
        <w:jc w:val="both"/>
        <w:rPr>
          <w:b/>
          <w:bCs/>
          <w:sz w:val="16"/>
          <w:szCs w:val="16"/>
        </w:rPr>
      </w:pPr>
      <w:r w:rsidRPr="00ED60BB">
        <w:rPr>
          <w:sz w:val="16"/>
          <w:szCs w:val="16"/>
        </w:rPr>
        <w:t xml:space="preserve">Available at </w:t>
      </w:r>
      <w:hyperlink r:id="rId3" w:history="1">
        <w:r w:rsidRPr="00ED60BB">
          <w:rPr>
            <w:rStyle w:val="Hyperlink"/>
            <w:sz w:val="16"/>
            <w:szCs w:val="16"/>
          </w:rPr>
          <w:t>https://chemonics.com/projects/improving-sri-lankas-justice-system/</w:t>
        </w:r>
      </w:hyperlink>
      <w:r w:rsidRPr="00ED60BB">
        <w:rPr>
          <w:sz w:val="16"/>
          <w:szCs w:val="16"/>
        </w:rPr>
        <w:t>, last visited &lt;&lt;1.12.2024&gt;&gt;</w:t>
      </w:r>
    </w:p>
  </w:footnote>
  <w:footnote w:id="52">
    <w:p w14:paraId="52F8C38A" w14:textId="24E182E2" w:rsidR="002E468D" w:rsidRPr="00ED60BB" w:rsidRDefault="002E468D" w:rsidP="006C0FEE">
      <w:pPr>
        <w:pStyle w:val="FootnoteText"/>
        <w:jc w:val="both"/>
        <w:rPr>
          <w:b/>
          <w:bCs/>
          <w:sz w:val="16"/>
          <w:szCs w:val="16"/>
        </w:rPr>
      </w:pPr>
      <w:r w:rsidRPr="00ED60BB">
        <w:rPr>
          <w:rStyle w:val="FootnoteReference"/>
          <w:sz w:val="16"/>
          <w:szCs w:val="16"/>
        </w:rPr>
        <w:footnoteRef/>
      </w:r>
      <w:r w:rsidRPr="00ED60BB">
        <w:rPr>
          <w:sz w:val="16"/>
          <w:szCs w:val="16"/>
        </w:rPr>
        <w:t xml:space="preserve"> </w:t>
      </w:r>
      <w:r w:rsidRPr="00ED60BB">
        <w:rPr>
          <w:sz w:val="16"/>
          <w:szCs w:val="16"/>
          <w:lang w:val="en-GB"/>
        </w:rPr>
        <w:t xml:space="preserve">Project goals were: </w:t>
      </w:r>
      <w:r w:rsidRPr="00ED60BB">
        <w:rPr>
          <w:sz w:val="16"/>
          <w:szCs w:val="16"/>
        </w:rPr>
        <w:t xml:space="preserve">Strengthen the effectiveness of core justice institutions, processes, and actors so they can effectively exercise their powers and fulfill their respective </w:t>
      </w:r>
      <w:r w:rsidR="009E2B5C" w:rsidRPr="00ED60BB">
        <w:rPr>
          <w:sz w:val="16"/>
          <w:szCs w:val="16"/>
        </w:rPr>
        <w:t>competencies</w:t>
      </w:r>
      <w:r w:rsidRPr="00ED60BB">
        <w:rPr>
          <w:sz w:val="16"/>
          <w:szCs w:val="16"/>
        </w:rPr>
        <w:t>; Improve the justice system’s transparency and citizen engagement by increasing public awareness of their work, enhancing trust in their processes and decisions, and garnering public support for their institutional needs</w:t>
      </w:r>
      <w:r w:rsidRPr="00ED60BB">
        <w:rPr>
          <w:b/>
          <w:bCs/>
          <w:sz w:val="16"/>
          <w:szCs w:val="16"/>
        </w:rPr>
        <w:t xml:space="preserve">; </w:t>
      </w:r>
      <w:r w:rsidRPr="00ED60BB">
        <w:rPr>
          <w:sz w:val="16"/>
          <w:szCs w:val="16"/>
        </w:rPr>
        <w:t>Enhance the governance, qualifications, and diversity of the Sri Lankan legal profession. Available at, https://chemonics.com/projects/modernizing-sri-lankan-judicial-system/last visited &lt;&lt;1.12.2024&gt;&gt;</w:t>
      </w:r>
    </w:p>
  </w:footnote>
  <w:footnote w:id="53">
    <w:p w14:paraId="4610AEF5" w14:textId="7896B44F" w:rsidR="00140EC8" w:rsidRPr="00597CD7" w:rsidRDefault="00140EC8">
      <w:pPr>
        <w:pStyle w:val="FootnoteText"/>
      </w:pPr>
      <w:r w:rsidRPr="00ED60BB">
        <w:rPr>
          <w:sz w:val="16"/>
          <w:szCs w:val="16"/>
        </w:rPr>
        <w:footnoteRef/>
      </w:r>
      <w:r w:rsidRPr="00ED60BB">
        <w:rPr>
          <w:sz w:val="16"/>
          <w:szCs w:val="16"/>
        </w:rPr>
        <w:t xml:space="preserve"> P.10.</w:t>
      </w:r>
      <w:r w:rsidR="00702666" w:rsidRPr="00ED60BB">
        <w:rPr>
          <w:sz w:val="16"/>
          <w:szCs w:val="16"/>
        </w:rPr>
        <w:t xml:space="preserve"> Annual Performance Report - 2023, Ministry of Justice, Prison Affairs, and Constitutional Reforms</w:t>
      </w:r>
      <w:r w:rsidR="00702666" w:rsidRPr="00597CD7">
        <w:t>.</w:t>
      </w:r>
    </w:p>
  </w:footnote>
  <w:footnote w:id="54">
    <w:p w14:paraId="6284E030" w14:textId="761B3A34" w:rsidR="0057665C" w:rsidRPr="00ED60BB" w:rsidRDefault="0057665C" w:rsidP="003822CE">
      <w:pPr>
        <w:pStyle w:val="FootnoteText"/>
        <w:contextualSpacing/>
        <w:rPr>
          <w:sz w:val="16"/>
          <w:szCs w:val="16"/>
          <w:lang w:val="en-GB"/>
        </w:rPr>
      </w:pPr>
      <w:r w:rsidRPr="00597CD7">
        <w:rPr>
          <w:rStyle w:val="FootnoteReference"/>
        </w:rPr>
        <w:footnoteRef/>
      </w:r>
      <w:r w:rsidRPr="00597CD7">
        <w:t xml:space="preserve"> </w:t>
      </w:r>
      <w:r w:rsidRPr="00ED60BB">
        <w:rPr>
          <w:sz w:val="16"/>
          <w:szCs w:val="16"/>
          <w:lang w:val="en-GB"/>
        </w:rPr>
        <w:t xml:space="preserve">Source: information provided by the JURE team </w:t>
      </w:r>
      <w:r w:rsidR="003822CE" w:rsidRPr="00ED60BB">
        <w:rPr>
          <w:sz w:val="16"/>
          <w:szCs w:val="16"/>
          <w:lang w:val="en-GB"/>
        </w:rPr>
        <w:t>in</w:t>
      </w:r>
      <w:r w:rsidRPr="00ED60BB">
        <w:rPr>
          <w:sz w:val="16"/>
          <w:szCs w:val="16"/>
          <w:lang w:val="en-GB"/>
        </w:rPr>
        <w:t xml:space="preserve"> December 2024. </w:t>
      </w:r>
    </w:p>
  </w:footnote>
  <w:footnote w:id="55">
    <w:p w14:paraId="3948AC31" w14:textId="1F5171A5" w:rsidR="00355BD2" w:rsidRPr="00597CD7" w:rsidRDefault="00355BD2" w:rsidP="00355BD2">
      <w:pPr>
        <w:pBdr>
          <w:top w:val="nil"/>
          <w:left w:val="nil"/>
          <w:bottom w:val="nil"/>
          <w:right w:val="nil"/>
          <w:between w:val="nil"/>
        </w:pBdr>
        <w:rPr>
          <w:color w:val="000000"/>
          <w:sz w:val="18"/>
          <w:szCs w:val="18"/>
        </w:rPr>
      </w:pPr>
      <w:r w:rsidRPr="00597CD7">
        <w:rPr>
          <w:rStyle w:val="FootnoteReference"/>
          <w:rFonts w:eastAsiaTheme="minorHAnsi"/>
          <w:sz w:val="18"/>
          <w:szCs w:val="18"/>
        </w:rPr>
        <w:footnoteRef/>
      </w:r>
      <w:r w:rsidRPr="00597CD7">
        <w:rPr>
          <w:color w:val="000000"/>
          <w:sz w:val="18"/>
          <w:szCs w:val="18"/>
        </w:rPr>
        <w:t xml:space="preserve"> </w:t>
      </w:r>
      <w:r w:rsidRPr="00ED60BB">
        <w:rPr>
          <w:color w:val="000000"/>
          <w:sz w:val="16"/>
          <w:szCs w:val="16"/>
        </w:rPr>
        <w:t xml:space="preserve">Source: </w:t>
      </w:r>
      <w:r w:rsidR="007A5C5F" w:rsidRPr="00ED60BB">
        <w:rPr>
          <w:color w:val="000000"/>
          <w:sz w:val="16"/>
          <w:szCs w:val="16"/>
        </w:rPr>
        <w:t>Inception</w:t>
      </w:r>
      <w:r w:rsidRPr="00ED60BB">
        <w:rPr>
          <w:color w:val="000000"/>
          <w:sz w:val="16"/>
          <w:szCs w:val="16"/>
        </w:rPr>
        <w:t xml:space="preserve"> report JURE (No date available)</w:t>
      </w:r>
    </w:p>
  </w:footnote>
  <w:footnote w:id="56">
    <w:p w14:paraId="02A6EF57" w14:textId="276458CB" w:rsidR="00F73416" w:rsidRPr="00ED60BB" w:rsidRDefault="00F73416">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 xml:space="preserve">ROM Report. </w:t>
      </w:r>
    </w:p>
  </w:footnote>
  <w:footnote w:id="57">
    <w:p w14:paraId="3402A553" w14:textId="77777777" w:rsidR="00355BD2" w:rsidRPr="00ED60BB" w:rsidRDefault="00355BD2" w:rsidP="00355BD2">
      <w:pPr>
        <w:pBdr>
          <w:top w:val="nil"/>
          <w:left w:val="nil"/>
          <w:bottom w:val="nil"/>
          <w:right w:val="nil"/>
          <w:between w:val="nil"/>
        </w:pBdr>
        <w:rPr>
          <w:color w:val="000000"/>
          <w:sz w:val="16"/>
          <w:szCs w:val="16"/>
        </w:rPr>
      </w:pPr>
      <w:r w:rsidRPr="00ED60BB">
        <w:rPr>
          <w:rStyle w:val="FootnoteReference"/>
          <w:rFonts w:eastAsiaTheme="minorHAnsi"/>
          <w:sz w:val="16"/>
          <w:szCs w:val="16"/>
        </w:rPr>
        <w:footnoteRef/>
      </w:r>
      <w:r w:rsidRPr="00ED60BB">
        <w:rPr>
          <w:color w:val="000000"/>
          <w:sz w:val="16"/>
          <w:szCs w:val="16"/>
        </w:rPr>
        <w:t xml:space="preserve"> Executive Summary. ROM Report. ROM-917,</w:t>
      </w:r>
      <w:r w:rsidRPr="00ED60BB">
        <w:rPr>
          <w:rFonts w:eastAsia="Times"/>
          <w:color w:val="000000"/>
          <w:sz w:val="16"/>
          <w:szCs w:val="16"/>
        </w:rPr>
        <w:t xml:space="preserve"> </w:t>
      </w:r>
      <w:r w:rsidRPr="00ED60BB">
        <w:rPr>
          <w:color w:val="000000"/>
          <w:sz w:val="16"/>
          <w:szCs w:val="16"/>
        </w:rPr>
        <w:t>D-41735 / INTV-16576</w:t>
      </w:r>
    </w:p>
  </w:footnote>
  <w:footnote w:id="58">
    <w:p w14:paraId="648D2C9A" w14:textId="584F3C85" w:rsidR="00355BD2" w:rsidRPr="00ED60BB" w:rsidRDefault="00355BD2" w:rsidP="00355BD2">
      <w:pPr>
        <w:pBdr>
          <w:top w:val="nil"/>
          <w:left w:val="nil"/>
          <w:bottom w:val="nil"/>
          <w:right w:val="nil"/>
          <w:between w:val="nil"/>
        </w:pBdr>
        <w:rPr>
          <w:rFonts w:asciiTheme="minorHAnsi" w:hAnsiTheme="minorHAnsi" w:cstheme="minorHAnsi"/>
          <w:color w:val="000000"/>
          <w:sz w:val="16"/>
          <w:szCs w:val="16"/>
        </w:rPr>
      </w:pPr>
    </w:p>
  </w:footnote>
  <w:footnote w:id="59">
    <w:p w14:paraId="19E68571" w14:textId="4C818095" w:rsidR="003822CE" w:rsidRPr="00ED60BB" w:rsidRDefault="003822CE" w:rsidP="003822CE">
      <w:pPr>
        <w:shd w:val="clear" w:color="auto" w:fill="FFFFFF" w:themeFill="background1"/>
        <w:contextualSpacing/>
        <w:jc w:val="both"/>
        <w:rPr>
          <w:color w:val="000000" w:themeColor="text1"/>
          <w:sz w:val="16"/>
          <w:szCs w:val="16"/>
        </w:rPr>
      </w:pPr>
      <w:r w:rsidRPr="00ED60BB">
        <w:rPr>
          <w:rStyle w:val="FootnoteReference"/>
          <w:color w:val="000000" w:themeColor="text1"/>
          <w:sz w:val="16"/>
          <w:szCs w:val="16"/>
        </w:rPr>
        <w:footnoteRef/>
      </w:r>
      <w:r w:rsidRPr="00ED60BB">
        <w:rPr>
          <w:color w:val="000000" w:themeColor="text1"/>
          <w:sz w:val="16"/>
          <w:szCs w:val="16"/>
        </w:rPr>
        <w:t xml:space="preserve"> </w:t>
      </w:r>
      <w:r w:rsidRPr="00ED60BB">
        <w:rPr>
          <w:rFonts w:eastAsia="Calibri"/>
          <w:color w:val="000000" w:themeColor="text1"/>
          <w:sz w:val="16"/>
          <w:szCs w:val="16"/>
        </w:rPr>
        <w:t>In JURE's budget, these allocations are divided per Outcomes as follows:</w:t>
      </w:r>
    </w:p>
    <w:p w14:paraId="2070220E" w14:textId="7F4FBFCD" w:rsidR="003822CE" w:rsidRPr="00ED60BB" w:rsidRDefault="003822CE" w:rsidP="003822CE">
      <w:pPr>
        <w:shd w:val="clear" w:color="auto" w:fill="FFFFFF" w:themeFill="background1"/>
        <w:contextualSpacing/>
        <w:jc w:val="both"/>
        <w:rPr>
          <w:color w:val="000000" w:themeColor="text1"/>
          <w:sz w:val="16"/>
          <w:szCs w:val="16"/>
        </w:rPr>
      </w:pPr>
      <w:r w:rsidRPr="00ED60BB">
        <w:rPr>
          <w:rFonts w:eastAsia="Calibri"/>
          <w:color w:val="000000" w:themeColor="text1"/>
          <w:sz w:val="16"/>
          <w:szCs w:val="16"/>
        </w:rPr>
        <w:t>For Outcome 1: USD 3,581,447 (18%). This Outcome's allocation is subdivided into Output 1.1, USD 1,281,989 (7%); Output 1.2, USD 1,083,872 (6%), Output 1.3, USD 1,215,586 (6%)</w:t>
      </w:r>
    </w:p>
    <w:p w14:paraId="452DC319" w14:textId="3A77ED00" w:rsidR="003822CE" w:rsidRPr="00ED60BB" w:rsidRDefault="003822CE" w:rsidP="003822CE">
      <w:pPr>
        <w:shd w:val="clear" w:color="auto" w:fill="FFFFFF" w:themeFill="background1"/>
        <w:contextualSpacing/>
        <w:jc w:val="both"/>
        <w:rPr>
          <w:color w:val="000000" w:themeColor="text1"/>
          <w:sz w:val="16"/>
          <w:szCs w:val="16"/>
        </w:rPr>
      </w:pPr>
      <w:r w:rsidRPr="00ED60BB">
        <w:rPr>
          <w:rFonts w:eastAsia="Calibri"/>
          <w:color w:val="000000" w:themeColor="text1"/>
          <w:sz w:val="16"/>
          <w:szCs w:val="16"/>
        </w:rPr>
        <w:t xml:space="preserve">For Outcome 2: USD 5,750,769 (30%). This Outcome's allocation is subdivided into Output 2.1, USD 3,051,846 (16%); Output 2.2, USD 1,218,465 (6%), Output 2.3, USD 1,480,458 (8%) </w:t>
      </w:r>
    </w:p>
    <w:p w14:paraId="60E84B5D" w14:textId="15AD4068" w:rsidR="003822CE" w:rsidRPr="00ED60BB" w:rsidRDefault="003822CE" w:rsidP="003822CE">
      <w:pPr>
        <w:shd w:val="clear" w:color="auto" w:fill="FFFFFF" w:themeFill="background1"/>
        <w:contextualSpacing/>
        <w:jc w:val="both"/>
        <w:rPr>
          <w:color w:val="000000" w:themeColor="text1"/>
          <w:sz w:val="16"/>
          <w:szCs w:val="16"/>
        </w:rPr>
      </w:pPr>
      <w:r w:rsidRPr="00ED60BB">
        <w:rPr>
          <w:rFonts w:eastAsia="Calibri"/>
          <w:color w:val="000000" w:themeColor="text1"/>
          <w:sz w:val="16"/>
          <w:szCs w:val="16"/>
        </w:rPr>
        <w:t>For Outcome 3: USD 8,857,976 (46%). This Outcome's allocation is subdivided into Output 3.1, USD 3,702,677 (19%); Output 3.2, USD 488,160 (3%); Output 3.3, USD 2,661,304 (14%); Output 3.4, USD 978,556 (5%); Output 3.5, USD 1,027,279 (5%)</w:t>
      </w:r>
    </w:p>
  </w:footnote>
  <w:footnote w:id="60">
    <w:p w14:paraId="2795B03C" w14:textId="411024D0" w:rsidR="00FE48EB" w:rsidRPr="00ED60BB" w:rsidRDefault="00FE48EB" w:rsidP="003822CE">
      <w:pPr>
        <w:pStyle w:val="FootnoteText"/>
        <w:contextualSpacing/>
        <w:rPr>
          <w:color w:val="000000" w:themeColor="text1"/>
          <w:sz w:val="16"/>
          <w:szCs w:val="16"/>
        </w:rPr>
      </w:pPr>
      <w:r w:rsidRPr="00ED60BB">
        <w:rPr>
          <w:rStyle w:val="FootnoteReference"/>
          <w:color w:val="000000" w:themeColor="text1"/>
          <w:sz w:val="16"/>
          <w:szCs w:val="16"/>
        </w:rPr>
        <w:footnoteRef/>
      </w:r>
      <w:r w:rsidRPr="00ED60BB">
        <w:rPr>
          <w:color w:val="000000" w:themeColor="text1"/>
          <w:sz w:val="16"/>
          <w:szCs w:val="16"/>
        </w:rPr>
        <w:t xml:space="preserve"> Source: information provided by the JURE project staff to evaluators</w:t>
      </w:r>
      <w:r w:rsidR="00904E1A" w:rsidRPr="00ED60BB">
        <w:rPr>
          <w:color w:val="000000" w:themeColor="text1"/>
          <w:sz w:val="16"/>
          <w:szCs w:val="16"/>
        </w:rPr>
        <w:t xml:space="preserve"> on 29 November. 2024</w:t>
      </w:r>
    </w:p>
  </w:footnote>
  <w:footnote w:id="61">
    <w:p w14:paraId="496B78F7" w14:textId="14239910" w:rsidR="009844F7" w:rsidRPr="00ED60BB" w:rsidRDefault="009844F7">
      <w:pPr>
        <w:pStyle w:val="FootnoteText"/>
        <w:rPr>
          <w:color w:val="000000" w:themeColor="text1"/>
          <w:sz w:val="16"/>
          <w:szCs w:val="16"/>
          <w:lang w:val="en-GB"/>
        </w:rPr>
      </w:pPr>
      <w:r w:rsidRPr="00ED60BB">
        <w:rPr>
          <w:rStyle w:val="FootnoteReference"/>
          <w:color w:val="000000" w:themeColor="text1"/>
          <w:sz w:val="16"/>
          <w:szCs w:val="16"/>
        </w:rPr>
        <w:footnoteRef/>
      </w:r>
      <w:r w:rsidRPr="00ED60BB">
        <w:rPr>
          <w:color w:val="000000" w:themeColor="text1"/>
          <w:sz w:val="16"/>
          <w:szCs w:val="16"/>
        </w:rPr>
        <w:t xml:space="preserve"> </w:t>
      </w:r>
      <w:r w:rsidRPr="00ED60BB">
        <w:rPr>
          <w:color w:val="000000" w:themeColor="text1"/>
          <w:sz w:val="16"/>
          <w:szCs w:val="16"/>
          <w:lang w:val="en-GB"/>
        </w:rPr>
        <w:t xml:space="preserve">From the desk review and discussions with the JURE team. </w:t>
      </w:r>
    </w:p>
  </w:footnote>
  <w:footnote w:id="62">
    <w:p w14:paraId="5CA85658" w14:textId="638C6111" w:rsidR="00D03036" w:rsidRPr="00ED60BB" w:rsidRDefault="00D03036">
      <w:pPr>
        <w:pStyle w:val="FootnoteText"/>
        <w:rPr>
          <w:color w:val="000000" w:themeColor="text1"/>
          <w:sz w:val="16"/>
          <w:szCs w:val="16"/>
          <w:lang w:val="en-GB"/>
        </w:rPr>
      </w:pPr>
      <w:r w:rsidRPr="00ED60BB">
        <w:rPr>
          <w:rStyle w:val="FootnoteReference"/>
          <w:color w:val="000000" w:themeColor="text1"/>
          <w:sz w:val="16"/>
          <w:szCs w:val="16"/>
        </w:rPr>
        <w:footnoteRef/>
      </w:r>
      <w:r w:rsidRPr="00ED60BB">
        <w:rPr>
          <w:color w:val="000000" w:themeColor="text1"/>
          <w:sz w:val="16"/>
          <w:szCs w:val="16"/>
        </w:rPr>
        <w:t xml:space="preserve"> </w:t>
      </w:r>
      <w:r w:rsidR="009E2B5C" w:rsidRPr="00ED60BB">
        <w:rPr>
          <w:color w:val="000000" w:themeColor="text1"/>
          <w:sz w:val="16"/>
          <w:szCs w:val="16"/>
          <w:lang w:val="en-GB"/>
        </w:rPr>
        <w:t>Source</w:t>
      </w:r>
      <w:r w:rsidRPr="00ED60BB">
        <w:rPr>
          <w:color w:val="000000" w:themeColor="text1"/>
          <w:sz w:val="16"/>
          <w:szCs w:val="16"/>
          <w:lang w:val="en-GB"/>
        </w:rPr>
        <w:t>: JURE team</w:t>
      </w:r>
    </w:p>
  </w:footnote>
  <w:footnote w:id="63">
    <w:p w14:paraId="576C22B7" w14:textId="2A6D3C0E" w:rsidR="00D03036" w:rsidRPr="00ED60BB" w:rsidRDefault="00D03036">
      <w:pPr>
        <w:pStyle w:val="FootnoteText"/>
        <w:rPr>
          <w:color w:val="000000" w:themeColor="text1"/>
          <w:sz w:val="16"/>
          <w:szCs w:val="16"/>
          <w:lang w:val="en-GB"/>
        </w:rPr>
      </w:pPr>
      <w:r w:rsidRPr="00ED60BB">
        <w:rPr>
          <w:rStyle w:val="FootnoteReference"/>
          <w:color w:val="000000" w:themeColor="text1"/>
          <w:sz w:val="16"/>
          <w:szCs w:val="16"/>
        </w:rPr>
        <w:footnoteRef/>
      </w:r>
      <w:r w:rsidRPr="00ED60BB">
        <w:rPr>
          <w:color w:val="000000" w:themeColor="text1"/>
          <w:sz w:val="16"/>
          <w:szCs w:val="16"/>
        </w:rPr>
        <w:t xml:space="preserve"> </w:t>
      </w:r>
      <w:r w:rsidRPr="00ED60BB">
        <w:rPr>
          <w:color w:val="000000" w:themeColor="text1"/>
          <w:sz w:val="16"/>
          <w:szCs w:val="16"/>
          <w:lang w:val="en-GB"/>
        </w:rPr>
        <w:t xml:space="preserve">Source: JURE team and the </w:t>
      </w:r>
      <w:r w:rsidR="009E2B5C" w:rsidRPr="00ED60BB">
        <w:rPr>
          <w:color w:val="000000" w:themeColor="text1"/>
          <w:sz w:val="16"/>
          <w:szCs w:val="16"/>
          <w:lang w:val="en-GB"/>
        </w:rPr>
        <w:t>revised</w:t>
      </w:r>
      <w:r w:rsidRPr="00ED60BB">
        <w:rPr>
          <w:color w:val="000000" w:themeColor="text1"/>
          <w:sz w:val="16"/>
          <w:szCs w:val="16"/>
          <w:lang w:val="en-GB"/>
        </w:rPr>
        <w:t xml:space="preserve"> Work Plan 2024</w:t>
      </w:r>
    </w:p>
  </w:footnote>
  <w:footnote w:id="64">
    <w:p w14:paraId="00D9FF1E" w14:textId="6AEDE5ED" w:rsidR="00D03036" w:rsidRPr="00ED60BB" w:rsidRDefault="00D03036">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 xml:space="preserve">Source: FGD discussion with the UNDP Gender Specialist and gender </w:t>
      </w:r>
      <w:r w:rsidR="009E2B5C" w:rsidRPr="00ED60BB">
        <w:rPr>
          <w:sz w:val="16"/>
          <w:szCs w:val="16"/>
          <w:lang w:val="en-GB"/>
        </w:rPr>
        <w:t>focal</w:t>
      </w:r>
      <w:r w:rsidRPr="00ED60BB">
        <w:rPr>
          <w:sz w:val="16"/>
          <w:szCs w:val="16"/>
          <w:lang w:val="en-GB"/>
        </w:rPr>
        <w:t xml:space="preserve"> points.</w:t>
      </w:r>
    </w:p>
  </w:footnote>
  <w:footnote w:id="65">
    <w:p w14:paraId="14ECF714" w14:textId="384C409A" w:rsidR="00153DBE" w:rsidRPr="00ED60BB" w:rsidRDefault="00153DBE">
      <w:pPr>
        <w:pStyle w:val="FootnoteText"/>
        <w:rPr>
          <w:sz w:val="16"/>
          <w:szCs w:val="16"/>
          <w:lang w:val="en-GB"/>
        </w:rPr>
      </w:pPr>
      <w:r w:rsidRPr="00ED60BB">
        <w:rPr>
          <w:sz w:val="16"/>
          <w:szCs w:val="16"/>
          <w:lang w:val="en-GB"/>
        </w:rPr>
        <w:footnoteRef/>
      </w:r>
      <w:r w:rsidRPr="00ED60BB">
        <w:rPr>
          <w:sz w:val="16"/>
          <w:szCs w:val="16"/>
          <w:lang w:val="en-GB"/>
        </w:rPr>
        <w:t>UNDP has commenced the revision of the Results Framework (</w:t>
      </w:r>
      <w:r w:rsidR="009C2EF1" w:rsidRPr="00ED60BB">
        <w:rPr>
          <w:sz w:val="16"/>
          <w:szCs w:val="16"/>
          <w:lang w:val="en-GB"/>
        </w:rPr>
        <w:t>Logframe</w:t>
      </w:r>
      <w:r w:rsidRPr="00ED60BB">
        <w:rPr>
          <w:sz w:val="16"/>
          <w:szCs w:val="16"/>
          <w:lang w:val="en-GB"/>
        </w:rPr>
        <w:t>) for the EU-supported Justice Reforms Project in Sri Lanka. To carry out the revision exercise, UNDP Sri Lanka has engaged an International Consultant (IC) on Results-Based Management through its Global Policy Network (GPN) roster. The international consultant began work on revising the results framework on 29 October 2024.</w:t>
      </w:r>
    </w:p>
  </w:footnote>
  <w:footnote w:id="66">
    <w:p w14:paraId="792ADC91" w14:textId="62A13148" w:rsidR="000E04F2" w:rsidRPr="00ED60BB" w:rsidRDefault="000E04F2">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KII and FGD with the national partners.</w:t>
      </w:r>
    </w:p>
  </w:footnote>
  <w:footnote w:id="67">
    <w:p w14:paraId="1E5A3860" w14:textId="7B03D6B4" w:rsidR="000E04F2" w:rsidRPr="00ED60BB" w:rsidRDefault="000E04F2">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 xml:space="preserve">KII with the JURE team. </w:t>
      </w:r>
    </w:p>
  </w:footnote>
  <w:footnote w:id="68">
    <w:p w14:paraId="646B893A" w14:textId="6905CCC0" w:rsidR="006C5CC9" w:rsidRPr="00ED60BB" w:rsidRDefault="006C5CC9">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Source: JURE</w:t>
      </w:r>
    </w:p>
  </w:footnote>
  <w:footnote w:id="69">
    <w:p w14:paraId="6D7A8409" w14:textId="2F134643" w:rsidR="00317AB7" w:rsidRPr="00ED60BB" w:rsidRDefault="00317AB7">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Source: CIABOC</w:t>
      </w:r>
    </w:p>
  </w:footnote>
  <w:footnote w:id="70">
    <w:p w14:paraId="5374B64D" w14:textId="504A81A4" w:rsidR="00F73416" w:rsidRPr="00ED60BB" w:rsidRDefault="00F73416">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Ibid.</w:t>
      </w:r>
    </w:p>
  </w:footnote>
  <w:footnote w:id="71">
    <w:p w14:paraId="483518EE" w14:textId="6AF4665A" w:rsidR="00317AB7" w:rsidRPr="00ED60BB" w:rsidRDefault="00317AB7">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Source; CIABOC</w:t>
      </w:r>
    </w:p>
  </w:footnote>
  <w:footnote w:id="72">
    <w:p w14:paraId="31F8C08E" w14:textId="21E4D720" w:rsidR="009349DB" w:rsidRPr="00ED60BB" w:rsidRDefault="009349DB">
      <w:pPr>
        <w:pStyle w:val="FootnoteText"/>
        <w:rPr>
          <w:sz w:val="16"/>
          <w:szCs w:val="16"/>
          <w:lang w:val="en-GB"/>
        </w:rPr>
      </w:pPr>
      <w:r w:rsidRPr="00ED60BB">
        <w:rPr>
          <w:rStyle w:val="FootnoteReference"/>
          <w:sz w:val="16"/>
          <w:szCs w:val="16"/>
        </w:rPr>
        <w:footnoteRef/>
      </w:r>
      <w:r w:rsidRPr="00ED60BB">
        <w:rPr>
          <w:sz w:val="16"/>
          <w:szCs w:val="16"/>
        </w:rPr>
        <w:t xml:space="preserve"> </w:t>
      </w:r>
      <w:r w:rsidR="00190F2C" w:rsidRPr="00ED60BB">
        <w:rPr>
          <w:rFonts w:eastAsia="Times New Roman"/>
          <w:sz w:val="16"/>
          <w:szCs w:val="16"/>
        </w:rPr>
        <w:t xml:space="preserve">Raising the age from 16 to 18 for sending children to prison has led </w:t>
      </w:r>
      <w:proofErr w:type="gramStart"/>
      <w:r w:rsidR="00190F2C" w:rsidRPr="00ED60BB">
        <w:rPr>
          <w:rFonts w:eastAsia="Times New Roman"/>
          <w:sz w:val="16"/>
          <w:szCs w:val="16"/>
        </w:rPr>
        <w:t>to</w:t>
      </w:r>
      <w:r w:rsidR="006C5CC9" w:rsidRPr="00ED60BB">
        <w:rPr>
          <w:rFonts w:eastAsia="Times New Roman"/>
          <w:sz w:val="16"/>
          <w:szCs w:val="16"/>
        </w:rPr>
        <w:t xml:space="preserve"> </w:t>
      </w:r>
      <w:r w:rsidR="00190F2C" w:rsidRPr="00ED60BB">
        <w:rPr>
          <w:rFonts w:eastAsia="Times New Roman"/>
          <w:sz w:val="16"/>
          <w:szCs w:val="16"/>
        </w:rPr>
        <w:t xml:space="preserve"> improvements</w:t>
      </w:r>
      <w:proofErr w:type="gramEnd"/>
      <w:r w:rsidR="00190F2C" w:rsidRPr="00ED60BB">
        <w:rPr>
          <w:rFonts w:eastAsia="Times New Roman"/>
          <w:sz w:val="16"/>
          <w:szCs w:val="16"/>
        </w:rPr>
        <w:t xml:space="preserve"> in child protection, aligning with international standards and reducing the exposure of minors to harmful environments.</w:t>
      </w:r>
    </w:p>
  </w:footnote>
  <w:footnote w:id="73">
    <w:p w14:paraId="6FAC890F" w14:textId="711272A2" w:rsidR="00455A37" w:rsidRPr="00ED60BB" w:rsidRDefault="00455A37">
      <w:pPr>
        <w:pStyle w:val="FootnoteText"/>
        <w:rPr>
          <w:rFonts w:eastAsia="Times New Roman"/>
          <w:sz w:val="16"/>
          <w:szCs w:val="16"/>
        </w:rPr>
      </w:pPr>
      <w:r w:rsidRPr="00ED60BB">
        <w:rPr>
          <w:rStyle w:val="FootnoteReference"/>
          <w:sz w:val="16"/>
          <w:szCs w:val="16"/>
        </w:rPr>
        <w:footnoteRef/>
      </w:r>
      <w:r w:rsidRPr="00ED60BB">
        <w:rPr>
          <w:sz w:val="16"/>
          <w:szCs w:val="16"/>
        </w:rPr>
        <w:t xml:space="preserve"> </w:t>
      </w:r>
      <w:r w:rsidRPr="00ED60BB">
        <w:rPr>
          <w:rFonts w:eastAsia="Times New Roman"/>
          <w:sz w:val="16"/>
          <w:szCs w:val="16"/>
        </w:rPr>
        <w:t>Source: JURE project’s stakeholders’ interview.</w:t>
      </w:r>
    </w:p>
  </w:footnote>
  <w:footnote w:id="74">
    <w:p w14:paraId="68A3B794" w14:textId="52DCD827" w:rsidR="00455A37" w:rsidRPr="00ED60BB" w:rsidRDefault="00455A37">
      <w:pPr>
        <w:pStyle w:val="FootnoteText"/>
        <w:rPr>
          <w:sz w:val="16"/>
          <w:szCs w:val="16"/>
        </w:rPr>
      </w:pPr>
      <w:r w:rsidRPr="00ED60BB">
        <w:rPr>
          <w:rStyle w:val="FootnoteReference"/>
          <w:sz w:val="16"/>
          <w:szCs w:val="16"/>
        </w:rPr>
        <w:footnoteRef/>
      </w:r>
      <w:r w:rsidRPr="00ED60BB">
        <w:rPr>
          <w:sz w:val="16"/>
          <w:szCs w:val="16"/>
        </w:rPr>
        <w:t xml:space="preserve"> Groundviews, </w:t>
      </w:r>
      <w:r w:rsidRPr="00ED60BB">
        <w:rPr>
          <w:i/>
          <w:iCs/>
          <w:sz w:val="16"/>
          <w:szCs w:val="16"/>
        </w:rPr>
        <w:t>A Milestone for Child Rights</w:t>
      </w:r>
      <w:r w:rsidRPr="00ED60BB">
        <w:rPr>
          <w:sz w:val="16"/>
          <w:szCs w:val="16"/>
        </w:rPr>
        <w:t xml:space="preserve"> (Groundviews, 4 April 2024)</w:t>
      </w:r>
      <w:r w:rsidR="00D82080" w:rsidRPr="00ED60BB">
        <w:rPr>
          <w:sz w:val="16"/>
          <w:szCs w:val="16"/>
        </w:rPr>
        <w:t xml:space="preserve">, </w:t>
      </w:r>
      <w:r w:rsidRPr="00ED60BB">
        <w:rPr>
          <w:sz w:val="16"/>
          <w:szCs w:val="16"/>
        </w:rPr>
        <w:t>paragraph 3 https://groundviews.org/2024/04/04/a-milestone-for-child-rights/ accessed 3 February 2025.</w:t>
      </w:r>
    </w:p>
  </w:footnote>
  <w:footnote w:id="75">
    <w:p w14:paraId="1FAE3612" w14:textId="23608051" w:rsidR="00D82080" w:rsidRPr="00ED60BB" w:rsidRDefault="00D82080">
      <w:pPr>
        <w:pStyle w:val="FootnoteText"/>
        <w:rPr>
          <w:sz w:val="16"/>
          <w:szCs w:val="16"/>
          <w:lang w:val="en-GB"/>
        </w:rPr>
      </w:pPr>
      <w:r w:rsidRPr="00ED60BB">
        <w:rPr>
          <w:rStyle w:val="FootnoteReference"/>
          <w:sz w:val="16"/>
          <w:szCs w:val="16"/>
        </w:rPr>
        <w:footnoteRef/>
      </w:r>
      <w:r w:rsidRPr="00ED60BB">
        <w:rPr>
          <w:sz w:val="16"/>
          <w:szCs w:val="16"/>
        </w:rPr>
        <w:t xml:space="preserve">  Source: JURE project. </w:t>
      </w:r>
    </w:p>
  </w:footnote>
  <w:footnote w:id="76">
    <w:p w14:paraId="534DB691" w14:textId="5AF645B1" w:rsidR="00492B9E" w:rsidRPr="00ED60BB" w:rsidRDefault="00492B9E">
      <w:pPr>
        <w:pStyle w:val="FootnoteText"/>
        <w:rPr>
          <w:sz w:val="16"/>
          <w:szCs w:val="16"/>
          <w:lang w:val="en-GB"/>
        </w:rPr>
      </w:pPr>
      <w:r w:rsidRPr="00ED60BB">
        <w:rPr>
          <w:rStyle w:val="FootnoteReference"/>
          <w:sz w:val="16"/>
          <w:szCs w:val="16"/>
        </w:rPr>
        <w:footnoteRef/>
      </w:r>
      <w:r w:rsidRPr="00ED60BB">
        <w:rPr>
          <w:sz w:val="16"/>
          <w:szCs w:val="16"/>
        </w:rPr>
        <w:t xml:space="preserve"> Results Oriented Analysis Report. UNDP</w:t>
      </w:r>
    </w:p>
  </w:footnote>
  <w:footnote w:id="77">
    <w:p w14:paraId="260EAE36" w14:textId="347329F4" w:rsidR="00275378" w:rsidRPr="00ED60BB" w:rsidRDefault="00275378">
      <w:pPr>
        <w:pStyle w:val="FootnoteText"/>
        <w:rPr>
          <w:sz w:val="16"/>
          <w:szCs w:val="16"/>
          <w:lang w:val="en-GB"/>
        </w:rPr>
      </w:pPr>
      <w:r w:rsidRPr="00ED60BB">
        <w:rPr>
          <w:rStyle w:val="FootnoteReference"/>
          <w:sz w:val="16"/>
          <w:szCs w:val="16"/>
        </w:rPr>
        <w:footnoteRef/>
      </w:r>
      <w:r w:rsidRPr="00ED60BB">
        <w:rPr>
          <w:sz w:val="16"/>
          <w:szCs w:val="16"/>
        </w:rPr>
        <w:t xml:space="preserve"> </w:t>
      </w:r>
      <w:r w:rsidRPr="00ED60BB">
        <w:rPr>
          <w:sz w:val="16"/>
          <w:szCs w:val="16"/>
          <w:lang w:val="en-GB"/>
        </w:rPr>
        <w:t xml:space="preserve">See: </w:t>
      </w:r>
      <w:r w:rsidRPr="00ED60BB">
        <w:rPr>
          <w:sz w:val="16"/>
          <w:szCs w:val="16"/>
        </w:rPr>
        <w:t>Quarterly Progress Report (QPR).</w:t>
      </w:r>
      <w:r w:rsidRPr="00ED60BB">
        <w:rPr>
          <w:rFonts w:eastAsia="Times New Roman"/>
          <w:snapToGrid/>
          <w:sz w:val="16"/>
          <w:szCs w:val="16"/>
        </w:rPr>
        <w:t xml:space="preserve"> </w:t>
      </w:r>
      <w:r w:rsidRPr="00ED60BB">
        <w:rPr>
          <w:sz w:val="16"/>
          <w:szCs w:val="16"/>
        </w:rPr>
        <w:t>The document covers the period August 1, 2024, to September 30, 2024.</w:t>
      </w:r>
    </w:p>
  </w:footnote>
  <w:footnote w:id="78">
    <w:p w14:paraId="58374407" w14:textId="2B4DDFF1" w:rsidR="00275378" w:rsidRPr="00597CD7" w:rsidRDefault="00275378">
      <w:pPr>
        <w:pStyle w:val="FootnoteText"/>
        <w:rPr>
          <w:lang w:val="en-GB"/>
        </w:rPr>
      </w:pPr>
      <w:r w:rsidRPr="00ED60BB">
        <w:rPr>
          <w:rStyle w:val="FootnoteReference"/>
          <w:sz w:val="16"/>
          <w:szCs w:val="16"/>
        </w:rPr>
        <w:footnoteRef/>
      </w:r>
      <w:r w:rsidRPr="00ED60BB">
        <w:rPr>
          <w:sz w:val="16"/>
          <w:szCs w:val="16"/>
        </w:rPr>
        <w:t xml:space="preserve"> </w:t>
      </w:r>
      <w:r w:rsidRPr="00ED60BB">
        <w:rPr>
          <w:sz w:val="16"/>
          <w:szCs w:val="16"/>
          <w:lang w:val="en-GB"/>
        </w:rPr>
        <w:t>Ibid.</w:t>
      </w:r>
    </w:p>
  </w:footnote>
  <w:footnote w:id="79">
    <w:p w14:paraId="3A9B773B" w14:textId="77777777" w:rsidR="002C2C09" w:rsidRPr="006D3B28" w:rsidRDefault="002C2C09" w:rsidP="002C2C09">
      <w:pPr>
        <w:pStyle w:val="FootnoteText"/>
        <w:rPr>
          <w:sz w:val="16"/>
          <w:szCs w:val="16"/>
        </w:rPr>
      </w:pPr>
      <w:r>
        <w:rPr>
          <w:rStyle w:val="FootnoteReference"/>
        </w:rPr>
        <w:footnoteRef/>
      </w:r>
      <w:r>
        <w:t xml:space="preserve"> </w:t>
      </w:r>
      <w:r w:rsidRPr="006D3B28">
        <w:rPr>
          <w:sz w:val="16"/>
          <w:szCs w:val="16"/>
        </w:rPr>
        <w:t>Achieving the Gold Gender Equality Seal means that a UNDP Country Office has:</w:t>
      </w:r>
    </w:p>
    <w:p w14:paraId="7939E5FA" w14:textId="77777777" w:rsidR="002C2C09" w:rsidRPr="006D3B28" w:rsidRDefault="002C2C09" w:rsidP="002C2C09">
      <w:pPr>
        <w:pStyle w:val="FootnoteText"/>
        <w:numPr>
          <w:ilvl w:val="0"/>
          <w:numId w:val="114"/>
        </w:numPr>
        <w:rPr>
          <w:sz w:val="16"/>
          <w:szCs w:val="16"/>
        </w:rPr>
      </w:pPr>
      <w:r w:rsidRPr="006D3B28">
        <w:rPr>
          <w:sz w:val="16"/>
          <w:szCs w:val="16"/>
        </w:rPr>
        <w:t>Integrated Gender into Programming: It has systematically mainstreamed gender equality into all aspects of its programs, ensuring that initiatives contribute meaningfully to reducing gender disparities and empowering women and girls.</w:t>
      </w:r>
    </w:p>
    <w:p w14:paraId="3D38A16E" w14:textId="77777777" w:rsidR="002C2C09" w:rsidRPr="006D3B28" w:rsidRDefault="002C2C09" w:rsidP="002C2C09">
      <w:pPr>
        <w:pStyle w:val="FootnoteText"/>
        <w:numPr>
          <w:ilvl w:val="0"/>
          <w:numId w:val="114"/>
        </w:numPr>
        <w:rPr>
          <w:sz w:val="16"/>
          <w:szCs w:val="16"/>
        </w:rPr>
      </w:pPr>
      <w:r w:rsidRPr="006D3B28">
        <w:rPr>
          <w:sz w:val="16"/>
          <w:szCs w:val="16"/>
        </w:rPr>
        <w:t>Promoted Gender Equality in Operations: The office has established gender-sensitive policies and practices, such as fair recruitment, equal pay, and support for work-life balance, ensuring a gender-equitable workplace.</w:t>
      </w:r>
    </w:p>
    <w:p w14:paraId="4095CB4F" w14:textId="77777777" w:rsidR="002C2C09" w:rsidRPr="006D3B28" w:rsidRDefault="002C2C09" w:rsidP="002C2C09">
      <w:pPr>
        <w:pStyle w:val="FootnoteText"/>
        <w:numPr>
          <w:ilvl w:val="0"/>
          <w:numId w:val="114"/>
        </w:numPr>
        <w:rPr>
          <w:sz w:val="16"/>
          <w:szCs w:val="16"/>
        </w:rPr>
      </w:pPr>
      <w:r w:rsidRPr="006D3B28">
        <w:rPr>
          <w:sz w:val="16"/>
          <w:szCs w:val="16"/>
        </w:rPr>
        <w:t>Implemented Innovative Approaches: It has developed innovative and impactful strategies for addressing gender-based inequalities, contributing to national and global progress on gender equality.</w:t>
      </w:r>
    </w:p>
    <w:p w14:paraId="4DA56114" w14:textId="77777777" w:rsidR="002C2C09" w:rsidRPr="006D3B28" w:rsidRDefault="002C2C09" w:rsidP="002C2C09">
      <w:pPr>
        <w:pStyle w:val="FootnoteText"/>
        <w:numPr>
          <w:ilvl w:val="0"/>
          <w:numId w:val="114"/>
        </w:numPr>
        <w:rPr>
          <w:sz w:val="16"/>
          <w:szCs w:val="16"/>
        </w:rPr>
      </w:pPr>
      <w:r w:rsidRPr="006D3B28">
        <w:rPr>
          <w:sz w:val="16"/>
          <w:szCs w:val="16"/>
        </w:rPr>
        <w:t>Demonstrated Leadership and Advocacy: The office has played a leading role in advocating for gender equality at the national and regional levels, influencing policy and promoting systemic change.</w:t>
      </w:r>
    </w:p>
    <w:p w14:paraId="7F76DDFE" w14:textId="631DA257" w:rsidR="002C2C09" w:rsidRPr="006D3B28" w:rsidRDefault="002C2C09" w:rsidP="00C900FD">
      <w:pPr>
        <w:pStyle w:val="FootnoteText"/>
        <w:numPr>
          <w:ilvl w:val="0"/>
          <w:numId w:val="114"/>
        </w:numPr>
        <w:rPr>
          <w:sz w:val="16"/>
          <w:szCs w:val="16"/>
        </w:rPr>
      </w:pPr>
      <w:r w:rsidRPr="006D3B28">
        <w:rPr>
          <w:sz w:val="16"/>
          <w:szCs w:val="16"/>
        </w:rPr>
        <w:t>Achieved Measurable Results: It has shown tangible results in reducing gender inequalities through its programs and operations, supported by robust monitoring and evaluation mechanisms.</w:t>
      </w:r>
    </w:p>
  </w:footnote>
  <w:footnote w:id="80">
    <w:p w14:paraId="37926D67" w14:textId="565EE9CC" w:rsidR="00201014" w:rsidRPr="006D3B28" w:rsidRDefault="00201014">
      <w:pPr>
        <w:pStyle w:val="FootnoteText"/>
        <w:rPr>
          <w:sz w:val="16"/>
          <w:szCs w:val="16"/>
        </w:rPr>
      </w:pPr>
      <w:r w:rsidRPr="006D3B28">
        <w:rPr>
          <w:rStyle w:val="FootnoteReference"/>
          <w:sz w:val="16"/>
          <w:szCs w:val="16"/>
        </w:rPr>
        <w:footnoteRef/>
      </w:r>
      <w:r w:rsidRPr="006D3B28">
        <w:rPr>
          <w:sz w:val="16"/>
          <w:szCs w:val="16"/>
        </w:rPr>
        <w:t xml:space="preserve"> See: Gender Action </w:t>
      </w:r>
      <w:r w:rsidR="009E2B5C" w:rsidRPr="006D3B28">
        <w:rPr>
          <w:sz w:val="16"/>
          <w:szCs w:val="16"/>
        </w:rPr>
        <w:t>Plan. URE</w:t>
      </w:r>
      <w:r w:rsidRPr="006D3B28">
        <w:rPr>
          <w:sz w:val="16"/>
          <w:szCs w:val="16"/>
        </w:rPr>
        <w:t xml:space="preserve"> Project.</w:t>
      </w:r>
    </w:p>
  </w:footnote>
  <w:footnote w:id="81">
    <w:p w14:paraId="0EDE7A7A" w14:textId="3699A81A" w:rsidR="00201014" w:rsidRPr="006D3B28" w:rsidRDefault="00201014">
      <w:pPr>
        <w:pStyle w:val="FootnoteText"/>
        <w:rPr>
          <w:sz w:val="16"/>
          <w:szCs w:val="16"/>
        </w:rPr>
      </w:pPr>
      <w:r w:rsidRPr="006D3B28">
        <w:rPr>
          <w:rStyle w:val="FootnoteReference"/>
          <w:sz w:val="16"/>
          <w:szCs w:val="16"/>
        </w:rPr>
        <w:footnoteRef/>
      </w:r>
      <w:r w:rsidRPr="006D3B28">
        <w:rPr>
          <w:sz w:val="16"/>
          <w:szCs w:val="16"/>
        </w:rPr>
        <w:t xml:space="preserve"> JURE Gender Action Plan Update 2023</w:t>
      </w:r>
    </w:p>
  </w:footnote>
  <w:footnote w:id="82">
    <w:p w14:paraId="1FEA28AB" w14:textId="77777777" w:rsidR="001D268A" w:rsidRPr="006D3B28" w:rsidRDefault="001D268A" w:rsidP="001D268A">
      <w:pPr>
        <w:pStyle w:val="FootnoteText"/>
        <w:rPr>
          <w:sz w:val="16"/>
          <w:szCs w:val="16"/>
        </w:rPr>
      </w:pPr>
      <w:r w:rsidRPr="006D3B28">
        <w:rPr>
          <w:rStyle w:val="FootnoteReference"/>
          <w:sz w:val="16"/>
          <w:szCs w:val="16"/>
        </w:rPr>
        <w:footnoteRef/>
      </w:r>
      <w:r w:rsidRPr="006D3B28">
        <w:rPr>
          <w:sz w:val="16"/>
          <w:szCs w:val="16"/>
        </w:rPr>
        <w:t xml:space="preserve"> JURE Gender Action Plan Update 2024</w:t>
      </w:r>
    </w:p>
  </w:footnote>
  <w:footnote w:id="83">
    <w:p w14:paraId="60347C05" w14:textId="65EC5D47" w:rsidR="00916122" w:rsidRPr="006D3B28" w:rsidRDefault="00916122">
      <w:pPr>
        <w:pStyle w:val="FootnoteText"/>
        <w:rPr>
          <w:sz w:val="16"/>
          <w:szCs w:val="16"/>
          <w:lang w:val="en-GB"/>
        </w:rPr>
      </w:pPr>
      <w:r w:rsidRPr="006D3B28">
        <w:rPr>
          <w:rStyle w:val="FootnoteReference"/>
          <w:sz w:val="16"/>
          <w:szCs w:val="16"/>
        </w:rPr>
        <w:footnoteRef/>
      </w:r>
      <w:r w:rsidRPr="006D3B28">
        <w:rPr>
          <w:sz w:val="16"/>
          <w:szCs w:val="16"/>
        </w:rPr>
        <w:t xml:space="preserve"> Source: CIABOC results reported on 11.07.2024</w:t>
      </w:r>
    </w:p>
  </w:footnote>
  <w:footnote w:id="84">
    <w:p w14:paraId="6B3A9608" w14:textId="2D37327A" w:rsidR="009E2B5C" w:rsidRPr="006D3B28" w:rsidRDefault="009E2B5C">
      <w:pPr>
        <w:pStyle w:val="FootnoteText"/>
        <w:rPr>
          <w:color w:val="000000" w:themeColor="text1"/>
          <w:sz w:val="16"/>
          <w:szCs w:val="16"/>
          <w:lang w:val="en-GB"/>
        </w:rPr>
      </w:pPr>
      <w:r w:rsidRPr="006D3B28">
        <w:rPr>
          <w:rStyle w:val="FootnoteReference"/>
          <w:color w:val="000000" w:themeColor="text1"/>
          <w:sz w:val="16"/>
          <w:szCs w:val="16"/>
        </w:rPr>
        <w:footnoteRef/>
      </w:r>
      <w:r w:rsidRPr="006D3B28">
        <w:rPr>
          <w:color w:val="000000" w:themeColor="text1"/>
          <w:sz w:val="16"/>
          <w:szCs w:val="16"/>
        </w:rPr>
        <w:t xml:space="preserve"> </w:t>
      </w:r>
      <w:hyperlink r:id="rId4" w:history="1">
        <w:r w:rsidR="0033039D" w:rsidRPr="006D3B28">
          <w:rPr>
            <w:rStyle w:val="Hyperlink"/>
            <w:color w:val="000000" w:themeColor="text1"/>
            <w:sz w:val="16"/>
            <w:szCs w:val="16"/>
          </w:rPr>
          <w:t>https://www.gchumanrights.org/category/preparedness/environment/</w:t>
        </w:r>
      </w:hyperlink>
      <w:r w:rsidR="0033039D" w:rsidRPr="006D3B28">
        <w:rPr>
          <w:color w:val="000000" w:themeColor="text1"/>
          <w:sz w:val="16"/>
          <w:szCs w:val="16"/>
        </w:rPr>
        <w:t>, last visited &lt;&lt;10.01.2025&gt;&gt;</w:t>
      </w:r>
    </w:p>
  </w:footnote>
  <w:footnote w:id="85">
    <w:p w14:paraId="11F4818C" w14:textId="3CB88311" w:rsidR="004D14C3" w:rsidRPr="006D3B28" w:rsidRDefault="004D14C3">
      <w:pPr>
        <w:pStyle w:val="FootnoteText"/>
        <w:rPr>
          <w:color w:val="000000" w:themeColor="text1"/>
          <w:sz w:val="16"/>
          <w:szCs w:val="16"/>
          <w:lang w:val="en-GB"/>
        </w:rPr>
      </w:pPr>
      <w:r w:rsidRPr="006D3B28">
        <w:rPr>
          <w:rStyle w:val="FootnoteReference"/>
          <w:color w:val="000000" w:themeColor="text1"/>
          <w:sz w:val="16"/>
          <w:szCs w:val="16"/>
        </w:rPr>
        <w:footnoteRef/>
      </w:r>
      <w:hyperlink r:id="rId5" w:history="1">
        <w:r w:rsidR="009C1D21" w:rsidRPr="006D3B28">
          <w:rPr>
            <w:rStyle w:val="Hyperlink"/>
            <w:color w:val="000000" w:themeColor="text1"/>
            <w:sz w:val="16"/>
            <w:szCs w:val="16"/>
            <w:lang w:val="en-GB"/>
          </w:rPr>
          <w:t>https://www.undp.org/kyrgyzstan/press-releases/new-legal-aid-office-inaugurated-kadamjay-will-expand-access-justice</w:t>
        </w:r>
      </w:hyperlink>
      <w:r w:rsidR="009C1D21" w:rsidRPr="006D3B28">
        <w:rPr>
          <w:color w:val="000000" w:themeColor="text1"/>
          <w:sz w:val="16"/>
          <w:szCs w:val="16"/>
          <w:lang w:val="en-GB"/>
        </w:rPr>
        <w:t xml:space="preserve"> specifically, one lesson learned states following: “”</w:t>
      </w:r>
    </w:p>
  </w:footnote>
  <w:footnote w:id="86">
    <w:p w14:paraId="6C9853F9" w14:textId="72ADD2A1" w:rsidR="009C1D21" w:rsidRPr="006D3B28" w:rsidRDefault="009C1D21">
      <w:pPr>
        <w:pStyle w:val="FootnoteText"/>
        <w:rPr>
          <w:color w:val="000000" w:themeColor="text1"/>
          <w:sz w:val="16"/>
          <w:szCs w:val="16"/>
          <w:lang w:val="en-GB"/>
        </w:rPr>
      </w:pPr>
      <w:r w:rsidRPr="006D3B28">
        <w:rPr>
          <w:rStyle w:val="FootnoteReference"/>
          <w:color w:val="000000" w:themeColor="text1"/>
          <w:sz w:val="16"/>
          <w:szCs w:val="16"/>
        </w:rPr>
        <w:footnoteRef/>
      </w:r>
      <w:r w:rsidRPr="006D3B28">
        <w:rPr>
          <w:color w:val="000000" w:themeColor="text1"/>
          <w:sz w:val="16"/>
          <w:szCs w:val="16"/>
        </w:rPr>
        <w:t xml:space="preserve"> </w:t>
      </w:r>
      <w:r w:rsidRPr="006D3B28">
        <w:rPr>
          <w:color w:val="000000" w:themeColor="text1"/>
          <w:sz w:val="16"/>
          <w:szCs w:val="16"/>
          <w:lang w:val="en-GB"/>
        </w:rPr>
        <w:t>Ibid at p. 41.</w:t>
      </w:r>
    </w:p>
  </w:footnote>
  <w:footnote w:id="87">
    <w:p w14:paraId="016471D3" w14:textId="15336105" w:rsidR="0089398C" w:rsidRPr="006D3B28" w:rsidRDefault="0089398C">
      <w:pPr>
        <w:pStyle w:val="FootnoteText"/>
        <w:rPr>
          <w:sz w:val="16"/>
          <w:szCs w:val="16"/>
          <w:lang w:val="en-GB"/>
        </w:rPr>
      </w:pPr>
      <w:r w:rsidRPr="006D3B28">
        <w:rPr>
          <w:rStyle w:val="FootnoteReference"/>
          <w:sz w:val="16"/>
          <w:szCs w:val="16"/>
        </w:rPr>
        <w:footnoteRef/>
      </w:r>
      <w:r w:rsidRPr="006D3B28">
        <w:rPr>
          <w:sz w:val="16"/>
          <w:szCs w:val="16"/>
        </w:rPr>
        <w:t xml:space="preserve"> </w:t>
      </w:r>
      <w:r w:rsidRPr="006D3B28">
        <w:rPr>
          <w:sz w:val="16"/>
          <w:szCs w:val="16"/>
          <w:lang w:val="en-GB"/>
        </w:rPr>
        <w:t>Source: JURE</w:t>
      </w:r>
    </w:p>
  </w:footnote>
  <w:footnote w:id="88">
    <w:p w14:paraId="00F5EE63" w14:textId="1709B3E0" w:rsidR="00393438" w:rsidRPr="006D3B28" w:rsidRDefault="00393438">
      <w:pPr>
        <w:pStyle w:val="FootnoteText"/>
        <w:rPr>
          <w:sz w:val="16"/>
          <w:szCs w:val="16"/>
        </w:rPr>
      </w:pPr>
      <w:r w:rsidRPr="006D3B28">
        <w:rPr>
          <w:rStyle w:val="FootnoteReference"/>
          <w:sz w:val="16"/>
          <w:szCs w:val="16"/>
        </w:rPr>
        <w:footnoteRef/>
      </w:r>
      <w:r w:rsidRPr="006D3B28">
        <w:rPr>
          <w:sz w:val="16"/>
          <w:szCs w:val="16"/>
        </w:rPr>
        <w:t xml:space="preserve"> Committee on the Rights of the Child, ‘Concluding Observations on the Sixth Periodic Report of Hungary’ (3 March 2020) CRC/C/HUN/CO/6, para 3.</w:t>
      </w:r>
    </w:p>
    <w:p w14:paraId="4A60A502" w14:textId="4E4BE3A8" w:rsidR="00393438" w:rsidRPr="006D3B28" w:rsidRDefault="00393438">
      <w:pPr>
        <w:pStyle w:val="FootnoteText"/>
        <w:rPr>
          <w:sz w:val="16"/>
          <w:szCs w:val="16"/>
          <w:lang w:val="en-GB"/>
        </w:rPr>
      </w:pPr>
      <w:r w:rsidRPr="006D3B28">
        <w:rPr>
          <w:sz w:val="16"/>
          <w:szCs w:val="16"/>
        </w:rPr>
        <w:t xml:space="preserve">Council of Europe, ‘Protection of Children against Sexual Exploitation and Abuse: Child-Friendly, Multidisciplinary and Interagency Response Inspired by the Barnahus Model’ (2018) </w:t>
      </w:r>
      <w:hyperlink r:id="rId6" w:tgtFrame="_new" w:history="1">
        <w:r w:rsidRPr="006D3B28">
          <w:rPr>
            <w:rStyle w:val="Hyperlink"/>
            <w:sz w:val="16"/>
            <w:szCs w:val="16"/>
          </w:rPr>
          <w:t>https://rm.coe.int/protection-of-children-against-sexual-exploitation-and-abuse-child-fri/168079426a</w:t>
        </w:r>
      </w:hyperlink>
      <w:r w:rsidRPr="006D3B28">
        <w:rPr>
          <w:sz w:val="16"/>
          <w:szCs w:val="16"/>
        </w:rPr>
        <w:t xml:space="preserve"> accessed 3.02.2025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B7660" w14:textId="77777777" w:rsidR="00EA79BF" w:rsidRDefault="00EA79BF" w:rsidP="00D16300">
    <w:pPr>
      <w:pStyle w:val="Header"/>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27737" w14:textId="77777777" w:rsidR="00EA79BF" w:rsidRDefault="00EA79BF">
    <w:pPr>
      <w:pStyle w:val="Header"/>
    </w:pPr>
    <w:r w:rsidRPr="00C26EF8">
      <w:rPr>
        <w:noProof/>
      </w:rPr>
      <mc:AlternateContent>
        <mc:Choice Requires="wps">
          <w:drawing>
            <wp:anchor distT="57150" distB="57150" distL="57150" distR="57150" simplePos="0" relativeHeight="251659264" behindDoc="0" locked="0" layoutInCell="1" allowOverlap="1" wp14:anchorId="5F9E89E7" wp14:editId="601D5003">
              <wp:simplePos x="0" y="0"/>
              <wp:positionH relativeFrom="page">
                <wp:posOffset>755650</wp:posOffset>
              </wp:positionH>
              <wp:positionV relativeFrom="page">
                <wp:posOffset>285750</wp:posOffset>
              </wp:positionV>
              <wp:extent cx="6267450" cy="256540"/>
              <wp:effectExtent l="0" t="0" r="0" b="0"/>
              <wp:wrapNone/>
              <wp:docPr id="1073741831" name="officeArt object"/>
              <wp:cNvGraphicFramePr/>
              <a:graphic xmlns:a="http://schemas.openxmlformats.org/drawingml/2006/main">
                <a:graphicData uri="http://schemas.microsoft.com/office/word/2010/wordprocessingShape">
                  <wps:wsp>
                    <wps:cNvSpPr txBox="1"/>
                    <wps:spPr>
                      <a:xfrm>
                        <a:off x="0" y="0"/>
                        <a:ext cx="6267450" cy="256540"/>
                      </a:xfrm>
                      <a:prstGeom prst="rect">
                        <a:avLst/>
                      </a:prstGeom>
                      <a:noFill/>
                      <a:ln w="12700" cap="flat">
                        <a:noFill/>
                        <a:miter lim="400000"/>
                      </a:ln>
                      <a:effectLst/>
                    </wps:spPr>
                    <wps:txbx>
                      <w:txbxContent>
                        <w:p w14:paraId="3B17260C" w14:textId="5A876F4F" w:rsidR="00EA79BF" w:rsidRPr="00062C4C" w:rsidRDefault="00EC302A" w:rsidP="00C26EF8">
                          <w:pPr>
                            <w:pStyle w:val="Header"/>
                          </w:pPr>
                          <w:r w:rsidRPr="00EC302A">
                            <w:t>EU – SRI LANKA JUSTICE REFORM PROGRAMME – JURE</w:t>
                          </w:r>
                        </w:p>
                      </w:txbxContent>
                    </wps:txbx>
                    <wps:bodyPr wrap="square" lIns="50800" tIns="50800" rIns="50800" bIns="50800" numCol="1" anchor="ctr">
                      <a:noAutofit/>
                    </wps:bodyPr>
                  </wps:wsp>
                </a:graphicData>
              </a:graphic>
              <wp14:sizeRelH relativeFrom="margin">
                <wp14:pctWidth>0</wp14:pctWidth>
              </wp14:sizeRelH>
              <wp14:sizeRelV relativeFrom="margin">
                <wp14:pctHeight>0</wp14:pctHeight>
              </wp14:sizeRelV>
            </wp:anchor>
          </w:drawing>
        </mc:Choice>
        <mc:Fallback>
          <w:pict>
            <v:shapetype w14:anchorId="5F9E89E7" id="_x0000_t202" coordsize="21600,21600" o:spt="202" path="m,l,21600r21600,l21600,xe">
              <v:stroke joinstyle="miter"/>
              <v:path gradientshapeok="t" o:connecttype="rect"/>
            </v:shapetype>
            <v:shape id="officeArt object" o:spid="_x0000_s1027" type="#_x0000_t202" style="position:absolute;left:0;text-align:left;margin-left:59.5pt;margin-top:22.5pt;width:493.5pt;height:20.2pt;z-index:251659264;visibility:visible;mso-wrap-style:square;mso-width-percent:0;mso-height-percent:0;mso-wrap-distance-left:4.5pt;mso-wrap-distance-top:4.5pt;mso-wrap-distance-right:4.5pt;mso-wrap-distance-bottom:4.5pt;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" filled="f" stroked="f" strokeweight="1pt">
              <v:stroke miterlimit="4"/>
              <v:textbox inset="4pt,4pt,4pt,4pt">
                <w:txbxContent>
                  <w:p w14:paraId="3B17260C" w14:textId="5A876F4F" w:rsidR="00EA79BF" w:rsidRPr="00062C4C" w:rsidRDefault="00EC302A" w:rsidP="00C26EF8">
                    <w:pPr>
                      <w:pStyle w:val="Header"/>
                    </w:pPr>
                    <w:r w:rsidRPr="00EC302A">
                      <w:t>EU – SRI LANKA JUSTICE REFORM PROGRAMME – JURE</w:t>
                    </w:r>
                  </w:p>
                </w:txbxContent>
              </v:textbox>
              <w10:wrap anchorx="page" anchory="page"/>
            </v:shape>
          </w:pict>
        </mc:Fallback>
      </mc:AlternateContent>
    </w:r>
    <w:r w:rsidRPr="00C26EF8">
      <w:rPr>
        <w:noProof/>
      </w:rPr>
      <mc:AlternateContent>
        <mc:Choice Requires="wps">
          <w:drawing>
            <wp:anchor distT="57150" distB="57150" distL="57150" distR="57150" simplePos="0" relativeHeight="251660288" behindDoc="0" locked="0" layoutInCell="1" allowOverlap="1" wp14:anchorId="5F936EE9" wp14:editId="3612C918">
              <wp:simplePos x="0" y="0"/>
              <wp:positionH relativeFrom="margin">
                <wp:align>center</wp:align>
              </wp:positionH>
              <wp:positionV relativeFrom="page">
                <wp:posOffset>631190</wp:posOffset>
              </wp:positionV>
              <wp:extent cx="5073650" cy="9525"/>
              <wp:effectExtent l="0" t="0" r="31750" b="28575"/>
              <wp:wrapNone/>
              <wp:docPr id="1073741832" name="officeArt object"/>
              <wp:cNvGraphicFramePr/>
              <a:graphic xmlns:a="http://schemas.openxmlformats.org/drawingml/2006/main">
                <a:graphicData uri="http://schemas.microsoft.com/office/word/2010/wordprocessingShape">
                  <wps:wsp>
                    <wps:cNvCnPr/>
                    <wps:spPr>
                      <a:xfrm flipV="1">
                        <a:off x="0" y="0"/>
                        <a:ext cx="5073650" cy="9525"/>
                      </a:xfrm>
                      <a:prstGeom prst="line">
                        <a:avLst/>
                      </a:prstGeom>
                      <a:solidFill>
                        <a:srgbClr val="2FBF96"/>
                      </a:solidFill>
                      <a:ln w="25400" cap="flat">
                        <a:solidFill>
                          <a:srgbClr val="E26717"/>
                        </a:solidFill>
                        <a:prstDash val="solid"/>
                        <a:miter lim="400000"/>
                      </a:ln>
                      <a:effectLst/>
                    </wps:spPr>
                    <wps:bodyPr/>
                  </wps:wsp>
                </a:graphicData>
              </a:graphic>
              <wp14:sizeRelH relativeFrom="margin">
                <wp14:pctWidth>0</wp14:pctWidth>
              </wp14:sizeRelH>
              <wp14:sizeRelV relativeFrom="margin">
                <wp14:pctHeight>0</wp14:pctHeight>
              </wp14:sizeRelV>
            </wp:anchor>
          </w:drawing>
        </mc:Choice>
        <mc:Fallback>
          <w:pict>
            <v:line w14:anchorId="1FAEEEFB" id="officeArt object" o:spid="_x0000_s1026" style="position:absolute;flip:y;z-index:251660288;visibility:visible;mso-wrap-style:square;mso-width-percent:0;mso-height-percent:0;mso-wrap-distance-left:4.5pt;mso-wrap-distance-top:4.5pt;mso-wrap-distance-right:4.5pt;mso-wrap-distance-bottom:4.5pt;mso-position-horizontal:center;mso-position-horizontal-relative:margin;mso-position-vertical:absolute;mso-position-vertical-relative:page;mso-width-percent:0;mso-height-percent:0;mso-width-relative:margin;mso-height-relative:margin" from="0,49.7pt" to="399.5pt,50.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" filled="t" fillcolor="#2fbf96" strokecolor="#e26717" strokeweight="2pt">
              <v:stroke miterlimit="4" joinstyle="miter"/>
              <w10:wrap anchorx="margin" anchory="page"/>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2D4A6" w14:textId="77777777" w:rsidR="00EA79BF" w:rsidRPr="00F82264" w:rsidRDefault="00EA79BF" w:rsidP="00F82264">
    <w:pPr>
      <w:pStyle w:val="Header"/>
      <w:jc w:val="left"/>
      <w:rPr>
        <w:lang w:val="en-G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CA60B" w14:textId="77777777" w:rsidR="00EA79BF" w:rsidRPr="005A53EE" w:rsidRDefault="00EA79BF" w:rsidP="005A53EE">
    <w:pPr>
      <w:widowControl w:val="0"/>
      <w:pBdr>
        <w:top w:val="nil"/>
        <w:left w:val="nil"/>
        <w:bottom w:val="nil"/>
        <w:right w:val="nil"/>
        <w:between w:val="nil"/>
      </w:pBd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rPr>
        <w:rFonts w:ascii="Gill Sans" w:eastAsia="Gill Sans" w:hAnsi="Gill Sans" w:cs="Gill Sans"/>
        <w:smallCaps/>
        <w:color w:val="595959"/>
        <w:lang w:val="en-GB"/>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46D45" w14:textId="77777777" w:rsidR="005A53EE" w:rsidRPr="005A53EE" w:rsidRDefault="005A53EE" w:rsidP="005A53EE">
    <w:pPr>
      <w:widowControl w:val="0"/>
      <w:pBdr>
        <w:top w:val="nil"/>
        <w:left w:val="nil"/>
        <w:bottom w:val="nil"/>
        <w:right w:val="nil"/>
        <w:between w:val="nil"/>
      </w:pBd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rPr>
        <w:rFonts w:ascii="Gill Sans" w:eastAsia="Gill Sans" w:hAnsi="Gill Sans" w:cs="Gill Sans"/>
        <w:smallCaps/>
        <w:color w:val="595959"/>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D20B1"/>
    <w:multiLevelType w:val="multilevel"/>
    <w:tmpl w:val="98E89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916379"/>
    <w:multiLevelType w:val="multilevel"/>
    <w:tmpl w:val="B49C4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974FEC"/>
    <w:multiLevelType w:val="multilevel"/>
    <w:tmpl w:val="268AFDC6"/>
    <w:lvl w:ilvl="0">
      <w:start w:val="1"/>
      <w:numFmt w:val="decimal"/>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0BC554E"/>
    <w:multiLevelType w:val="hybridMultilevel"/>
    <w:tmpl w:val="F3FCBC3C"/>
    <w:lvl w:ilvl="0" w:tplc="07FEED4C">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12642C2"/>
    <w:multiLevelType w:val="hybridMultilevel"/>
    <w:tmpl w:val="6F406132"/>
    <w:lvl w:ilvl="0" w:tplc="1444DFAE">
      <w:start w:val="1"/>
      <w:numFmt w:val="decimal"/>
      <w:lvlText w:val="%1."/>
      <w:lvlJc w:val="left"/>
      <w:pPr>
        <w:ind w:left="72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18A3391"/>
    <w:multiLevelType w:val="hybridMultilevel"/>
    <w:tmpl w:val="209684F4"/>
    <w:lvl w:ilvl="0" w:tplc="07FEED4C">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2CD2563"/>
    <w:multiLevelType w:val="multilevel"/>
    <w:tmpl w:val="0CBA7B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073F8D"/>
    <w:multiLevelType w:val="multilevel"/>
    <w:tmpl w:val="681211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155945"/>
    <w:multiLevelType w:val="multilevel"/>
    <w:tmpl w:val="CF4AD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351916"/>
    <w:multiLevelType w:val="hybridMultilevel"/>
    <w:tmpl w:val="4A12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B63506"/>
    <w:multiLevelType w:val="hybridMultilevel"/>
    <w:tmpl w:val="466AB248"/>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5CD393B"/>
    <w:multiLevelType w:val="multilevel"/>
    <w:tmpl w:val="9822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626170D"/>
    <w:multiLevelType w:val="multilevel"/>
    <w:tmpl w:val="18A60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6495554"/>
    <w:multiLevelType w:val="multilevel"/>
    <w:tmpl w:val="6284C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C8492D"/>
    <w:multiLevelType w:val="multilevel"/>
    <w:tmpl w:val="FDE8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7690432"/>
    <w:multiLevelType w:val="multilevel"/>
    <w:tmpl w:val="4F225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FD1767"/>
    <w:multiLevelType w:val="multilevel"/>
    <w:tmpl w:val="03B47B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8A55C7C"/>
    <w:multiLevelType w:val="hybridMultilevel"/>
    <w:tmpl w:val="D5A47134"/>
    <w:lvl w:ilvl="0" w:tplc="FFFFFFFF">
      <w:start w:val="1"/>
      <w:numFmt w:val="decimal"/>
      <w:lvlText w:val="%1."/>
      <w:lvlJc w:val="left"/>
      <w:pPr>
        <w:ind w:left="450" w:hanging="360"/>
      </w:pPr>
    </w:lvl>
    <w:lvl w:ilvl="1" w:tplc="FFFFFFFF" w:tentative="1">
      <w:start w:val="1"/>
      <w:numFmt w:val="lowerLetter"/>
      <w:lvlText w:val="%2."/>
      <w:lvlJc w:val="left"/>
      <w:pPr>
        <w:ind w:left="990" w:hanging="360"/>
      </w:pPr>
    </w:lvl>
    <w:lvl w:ilvl="2" w:tplc="FFFFFFFF" w:tentative="1">
      <w:start w:val="1"/>
      <w:numFmt w:val="lowerRoman"/>
      <w:lvlText w:val="%3."/>
      <w:lvlJc w:val="right"/>
      <w:pPr>
        <w:ind w:left="1710" w:hanging="180"/>
      </w:pPr>
    </w:lvl>
    <w:lvl w:ilvl="3" w:tplc="FFFFFFFF" w:tentative="1">
      <w:start w:val="1"/>
      <w:numFmt w:val="decimal"/>
      <w:lvlText w:val="%4."/>
      <w:lvlJc w:val="left"/>
      <w:pPr>
        <w:ind w:left="2430" w:hanging="360"/>
      </w:pPr>
    </w:lvl>
    <w:lvl w:ilvl="4" w:tplc="FFFFFFFF" w:tentative="1">
      <w:start w:val="1"/>
      <w:numFmt w:val="lowerLetter"/>
      <w:lvlText w:val="%5."/>
      <w:lvlJc w:val="left"/>
      <w:pPr>
        <w:ind w:left="3150" w:hanging="360"/>
      </w:pPr>
    </w:lvl>
    <w:lvl w:ilvl="5" w:tplc="FFFFFFFF" w:tentative="1">
      <w:start w:val="1"/>
      <w:numFmt w:val="lowerRoman"/>
      <w:lvlText w:val="%6."/>
      <w:lvlJc w:val="right"/>
      <w:pPr>
        <w:ind w:left="3870" w:hanging="180"/>
      </w:pPr>
    </w:lvl>
    <w:lvl w:ilvl="6" w:tplc="FFFFFFFF" w:tentative="1">
      <w:start w:val="1"/>
      <w:numFmt w:val="decimal"/>
      <w:lvlText w:val="%7."/>
      <w:lvlJc w:val="left"/>
      <w:pPr>
        <w:ind w:left="4590" w:hanging="360"/>
      </w:pPr>
    </w:lvl>
    <w:lvl w:ilvl="7" w:tplc="FFFFFFFF" w:tentative="1">
      <w:start w:val="1"/>
      <w:numFmt w:val="lowerLetter"/>
      <w:lvlText w:val="%8."/>
      <w:lvlJc w:val="left"/>
      <w:pPr>
        <w:ind w:left="5310" w:hanging="360"/>
      </w:pPr>
    </w:lvl>
    <w:lvl w:ilvl="8" w:tplc="FFFFFFFF" w:tentative="1">
      <w:start w:val="1"/>
      <w:numFmt w:val="lowerRoman"/>
      <w:lvlText w:val="%9."/>
      <w:lvlJc w:val="right"/>
      <w:pPr>
        <w:ind w:left="6030" w:hanging="180"/>
      </w:pPr>
    </w:lvl>
  </w:abstractNum>
  <w:abstractNum w:abstractNumId="18" w15:restartNumberingAfterBreak="0">
    <w:nsid w:val="08B131C4"/>
    <w:multiLevelType w:val="hybridMultilevel"/>
    <w:tmpl w:val="DA08F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9361A61"/>
    <w:multiLevelType w:val="multilevel"/>
    <w:tmpl w:val="3DC06A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9BC30EA"/>
    <w:multiLevelType w:val="multilevel"/>
    <w:tmpl w:val="A3AA4A70"/>
    <w:lvl w:ilvl="0">
      <w:start w:val="1"/>
      <w:numFmt w:val="decimal"/>
      <w:lvlText w:val="%1"/>
      <w:lvlJc w:val="left"/>
      <w:pPr>
        <w:ind w:left="360" w:hanging="360"/>
      </w:pPr>
      <w:rPr>
        <w:rFonts w:ascii="Times New Roman" w:hAnsi="Times New Roman" w:hint="default"/>
        <w:color w:val="auto"/>
      </w:rPr>
    </w:lvl>
    <w:lvl w:ilvl="1">
      <w:start w:val="1"/>
      <w:numFmt w:val="decimal"/>
      <w:lvlText w:val="%1.%2"/>
      <w:lvlJc w:val="left"/>
      <w:pPr>
        <w:ind w:left="576" w:hanging="576"/>
      </w:pPr>
    </w:lvl>
    <w:lvl w:ilvl="2">
      <w:start w:val="1"/>
      <w:numFmt w:val="decimal"/>
      <w:lvlText w:val="%1.%2.%3"/>
      <w:lvlJc w:val="left"/>
      <w:pPr>
        <w:ind w:left="1146"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15:restartNumberingAfterBreak="0">
    <w:nsid w:val="0B7F33A4"/>
    <w:multiLevelType w:val="multilevel"/>
    <w:tmpl w:val="3ACC30D8"/>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B9056A1"/>
    <w:multiLevelType w:val="hybridMultilevel"/>
    <w:tmpl w:val="172405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0DE9483A"/>
    <w:multiLevelType w:val="hybridMultilevel"/>
    <w:tmpl w:val="5D807DE0"/>
    <w:lvl w:ilvl="0" w:tplc="7F0209FE">
      <w:start w:val="1"/>
      <w:numFmt w:val="bullet"/>
      <w:lvlText w:val=""/>
      <w:lvlJc w:val="left"/>
      <w:pPr>
        <w:ind w:left="785" w:hanging="360"/>
      </w:pPr>
      <w:rPr>
        <w:rFonts w:ascii="Wingdings" w:hAnsi="Wingdings" w:hint="default"/>
        <w:b w:val="0"/>
        <w:bCs w:val="0"/>
        <w:i w:val="0"/>
        <w:iCs w:val="0"/>
        <w:caps w:val="0"/>
        <w:smallCaps w:val="0"/>
        <w:strike w:val="0"/>
        <w:dstrike w:val="0"/>
        <w:color w:val="1896A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865" w:hanging="360"/>
      </w:pPr>
      <w:rPr>
        <w:rFonts w:ascii="Courier New" w:hAnsi="Courier New" w:cs="Courier New" w:hint="default"/>
      </w:rPr>
    </w:lvl>
    <w:lvl w:ilvl="2" w:tplc="08090005">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24" w15:restartNumberingAfterBreak="0">
    <w:nsid w:val="0E2C67B5"/>
    <w:multiLevelType w:val="hybridMultilevel"/>
    <w:tmpl w:val="FF32ABBA"/>
    <w:lvl w:ilvl="0" w:tplc="3D9ACC8E">
      <w:numFmt w:val="bullet"/>
      <w:lvlText w:val="•"/>
      <w:lvlJc w:val="left"/>
      <w:pPr>
        <w:ind w:left="1080" w:hanging="720"/>
      </w:pPr>
      <w:rPr>
        <w:rFonts w:ascii="Calibri Light" w:eastAsia="SimSu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F444DEA"/>
    <w:multiLevelType w:val="multilevel"/>
    <w:tmpl w:val="ADE6F2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502"/>
        </w:tabs>
        <w:ind w:left="502"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F5E3D39"/>
    <w:multiLevelType w:val="hybridMultilevel"/>
    <w:tmpl w:val="9D5AFE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0F820F25"/>
    <w:multiLevelType w:val="multilevel"/>
    <w:tmpl w:val="743CA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037F6C"/>
    <w:multiLevelType w:val="multilevel"/>
    <w:tmpl w:val="2E8C2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019357E"/>
    <w:multiLevelType w:val="hybridMultilevel"/>
    <w:tmpl w:val="A6185460"/>
    <w:lvl w:ilvl="0" w:tplc="6448B0C8">
      <w:start w:val="1"/>
      <w:numFmt w:val="bullet"/>
      <w:lvlText w:val=""/>
      <w:lvlJc w:val="left"/>
      <w:pPr>
        <w:ind w:left="720" w:hanging="360"/>
      </w:pPr>
      <w:rPr>
        <w:rFonts w:ascii="Symbol" w:hAnsi="Symbol" w:hint="default"/>
        <w:b w:val="0"/>
        <w:caps w:val="0"/>
        <w:smallCaps w:val="0"/>
        <w:color w:val="ED7D31" w:themeColor="accent2"/>
        <w:spacing w:val="0"/>
        <w:u w:color="ED7D31" w:themeColor="accent2"/>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11036571"/>
    <w:multiLevelType w:val="multilevel"/>
    <w:tmpl w:val="BFD2604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502"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11EE0467"/>
    <w:multiLevelType w:val="multilevel"/>
    <w:tmpl w:val="A3AA4A70"/>
    <w:styleLink w:val="ME"/>
    <w:lvl w:ilvl="0">
      <w:start w:val="1"/>
      <w:numFmt w:val="decimal"/>
      <w:lvlText w:val="%1"/>
      <w:lvlJc w:val="left"/>
      <w:pPr>
        <w:ind w:left="360" w:hanging="360"/>
      </w:pPr>
      <w:rPr>
        <w:rFonts w:ascii="Times New Roman" w:hAnsi="Times New Roman" w:hint="default"/>
        <w:color w:val="auto"/>
      </w:rPr>
    </w:lvl>
    <w:lvl w:ilvl="1">
      <w:start w:val="1"/>
      <w:numFmt w:val="decimal"/>
      <w:lvlText w:val="%1.%2"/>
      <w:lvlJc w:val="left"/>
      <w:pPr>
        <w:ind w:left="576" w:hanging="576"/>
      </w:pPr>
    </w:lvl>
    <w:lvl w:ilvl="2">
      <w:start w:val="1"/>
      <w:numFmt w:val="decimal"/>
      <w:lvlText w:val="%1.%2.%3"/>
      <w:lvlJc w:val="left"/>
      <w:pPr>
        <w:ind w:left="1146"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2" w15:restartNumberingAfterBreak="0">
    <w:nsid w:val="120576F0"/>
    <w:multiLevelType w:val="hybridMultilevel"/>
    <w:tmpl w:val="63064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2AF6FA9"/>
    <w:multiLevelType w:val="multilevel"/>
    <w:tmpl w:val="E222CAA0"/>
    <w:lvl w:ilvl="0">
      <w:start w:val="1"/>
      <w:numFmt w:val="decimal"/>
      <w:lvlText w:val="%1."/>
      <w:lvlJc w:val="left"/>
      <w:pPr>
        <w:ind w:left="502" w:hanging="360"/>
      </w:pPr>
    </w:lvl>
    <w:lvl w:ilvl="1">
      <w:numFmt w:val="bullet"/>
      <w:lvlText w:val="●"/>
      <w:lvlJc w:val="left"/>
      <w:pPr>
        <w:ind w:left="643" w:hanging="360"/>
      </w:pPr>
      <w:rPr>
        <w:rFonts w:ascii="Noto Sans Symbols" w:eastAsia="Noto Sans Symbols" w:hAnsi="Noto Sans Symbols" w:cs="Noto Sans Symbols"/>
        <w:color w:val="00000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4" w15:restartNumberingAfterBreak="0">
    <w:nsid w:val="13776E32"/>
    <w:multiLevelType w:val="hybridMultilevel"/>
    <w:tmpl w:val="1FCAD954"/>
    <w:lvl w:ilvl="0" w:tplc="F3140732">
      <w:start w:val="1"/>
      <w:numFmt w:val="decimal"/>
      <w:pStyle w:val="ListParagraph"/>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13F97E5D"/>
    <w:multiLevelType w:val="multilevel"/>
    <w:tmpl w:val="A5E250F0"/>
    <w:lvl w:ilvl="0">
      <w:start w:val="1"/>
      <w:numFmt w:val="decimal"/>
      <w:lvlText w:val="%1."/>
      <w:lvlJc w:val="left"/>
      <w:pPr>
        <w:ind w:left="360" w:hanging="360"/>
      </w:pPr>
    </w:lvl>
    <w:lvl w:ilvl="1">
      <w:start w:val="1"/>
      <w:numFmt w:val="bullet"/>
      <w:lvlText w:val="o"/>
      <w:lvlJc w:val="left"/>
      <w:pPr>
        <w:ind w:left="1079" w:hanging="360"/>
      </w:pPr>
      <w:rPr>
        <w:rFonts w:ascii="Courier New" w:eastAsia="Courier New" w:hAnsi="Courier New" w:cs="Courier New"/>
      </w:rPr>
    </w:lvl>
    <w:lvl w:ilvl="2">
      <w:start w:val="1"/>
      <w:numFmt w:val="bullet"/>
      <w:lvlText w:val="▪"/>
      <w:lvlJc w:val="left"/>
      <w:pPr>
        <w:ind w:left="1799" w:hanging="360"/>
      </w:pPr>
      <w:rPr>
        <w:rFonts w:ascii="Noto Sans Symbols" w:eastAsia="Noto Sans Symbols" w:hAnsi="Noto Sans Symbols" w:cs="Noto Sans Symbols"/>
      </w:rPr>
    </w:lvl>
    <w:lvl w:ilvl="3">
      <w:start w:val="1"/>
      <w:numFmt w:val="bullet"/>
      <w:lvlText w:val="●"/>
      <w:lvlJc w:val="left"/>
      <w:pPr>
        <w:ind w:left="2519" w:hanging="360"/>
      </w:pPr>
      <w:rPr>
        <w:rFonts w:ascii="Noto Sans Symbols" w:eastAsia="Noto Sans Symbols" w:hAnsi="Noto Sans Symbols" w:cs="Noto Sans Symbols"/>
      </w:rPr>
    </w:lvl>
    <w:lvl w:ilvl="4">
      <w:start w:val="1"/>
      <w:numFmt w:val="bullet"/>
      <w:lvlText w:val="o"/>
      <w:lvlJc w:val="left"/>
      <w:pPr>
        <w:ind w:left="3239" w:hanging="360"/>
      </w:pPr>
      <w:rPr>
        <w:rFonts w:ascii="Courier New" w:eastAsia="Courier New" w:hAnsi="Courier New" w:cs="Courier New"/>
      </w:rPr>
    </w:lvl>
    <w:lvl w:ilvl="5">
      <w:start w:val="1"/>
      <w:numFmt w:val="bullet"/>
      <w:lvlText w:val="▪"/>
      <w:lvlJc w:val="left"/>
      <w:pPr>
        <w:ind w:left="3959" w:hanging="360"/>
      </w:pPr>
      <w:rPr>
        <w:rFonts w:ascii="Noto Sans Symbols" w:eastAsia="Noto Sans Symbols" w:hAnsi="Noto Sans Symbols" w:cs="Noto Sans Symbols"/>
      </w:rPr>
    </w:lvl>
    <w:lvl w:ilvl="6">
      <w:start w:val="1"/>
      <w:numFmt w:val="bullet"/>
      <w:lvlText w:val="●"/>
      <w:lvlJc w:val="left"/>
      <w:pPr>
        <w:ind w:left="4679" w:hanging="360"/>
      </w:pPr>
      <w:rPr>
        <w:rFonts w:ascii="Noto Sans Symbols" w:eastAsia="Noto Sans Symbols" w:hAnsi="Noto Sans Symbols" w:cs="Noto Sans Symbols"/>
      </w:rPr>
    </w:lvl>
    <w:lvl w:ilvl="7">
      <w:start w:val="1"/>
      <w:numFmt w:val="bullet"/>
      <w:lvlText w:val="o"/>
      <w:lvlJc w:val="left"/>
      <w:pPr>
        <w:ind w:left="5399" w:hanging="360"/>
      </w:pPr>
      <w:rPr>
        <w:rFonts w:ascii="Courier New" w:eastAsia="Courier New" w:hAnsi="Courier New" w:cs="Courier New"/>
      </w:rPr>
    </w:lvl>
    <w:lvl w:ilvl="8">
      <w:start w:val="1"/>
      <w:numFmt w:val="bullet"/>
      <w:lvlText w:val="▪"/>
      <w:lvlJc w:val="left"/>
      <w:pPr>
        <w:ind w:left="6119" w:hanging="360"/>
      </w:pPr>
      <w:rPr>
        <w:rFonts w:ascii="Noto Sans Symbols" w:eastAsia="Noto Sans Symbols" w:hAnsi="Noto Sans Symbols" w:cs="Noto Sans Symbols"/>
      </w:rPr>
    </w:lvl>
  </w:abstractNum>
  <w:abstractNum w:abstractNumId="36" w15:restartNumberingAfterBreak="0">
    <w:nsid w:val="15516A96"/>
    <w:multiLevelType w:val="multilevel"/>
    <w:tmpl w:val="9594C99E"/>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Calibri" w:eastAsiaTheme="minorHAnsi" w:hAnsi="Calibri" w:cs="Calibri"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15:restartNumberingAfterBreak="0">
    <w:nsid w:val="159406ED"/>
    <w:multiLevelType w:val="multilevel"/>
    <w:tmpl w:val="CC685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5E82698"/>
    <w:multiLevelType w:val="hybridMultilevel"/>
    <w:tmpl w:val="A1D026F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61840A4"/>
    <w:multiLevelType w:val="hybridMultilevel"/>
    <w:tmpl w:val="1D546D3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168E0839"/>
    <w:multiLevelType w:val="hybridMultilevel"/>
    <w:tmpl w:val="64DE2C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7861A38"/>
    <w:multiLevelType w:val="hybridMultilevel"/>
    <w:tmpl w:val="FEEC4F7A"/>
    <w:lvl w:ilvl="0" w:tplc="04090003">
      <w:start w:val="1"/>
      <w:numFmt w:val="bullet"/>
      <w:lvlText w:val="o"/>
      <w:lvlJc w:val="left"/>
      <w:pPr>
        <w:ind w:left="1620" w:hanging="360"/>
      </w:pPr>
      <w:rPr>
        <w:rFonts w:ascii="Courier New" w:hAnsi="Courier New" w:cs="Courier New" w:hint="default"/>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2" w15:restartNumberingAfterBreak="0">
    <w:nsid w:val="186179BB"/>
    <w:multiLevelType w:val="hybridMultilevel"/>
    <w:tmpl w:val="3B6E5410"/>
    <w:lvl w:ilvl="0" w:tplc="04090009">
      <w:start w:val="1"/>
      <w:numFmt w:val="bullet"/>
      <w:lvlText w:val=""/>
      <w:lvlJc w:val="left"/>
      <w:pPr>
        <w:ind w:left="810" w:hanging="360"/>
      </w:pPr>
      <w:rPr>
        <w:rFonts w:ascii="Wingdings" w:hAnsi="Wingdings" w:hint="default"/>
      </w:rPr>
    </w:lvl>
    <w:lvl w:ilvl="1" w:tplc="FFFFFFFF" w:tentative="1">
      <w:start w:val="1"/>
      <w:numFmt w:val="lowerLetter"/>
      <w:lvlText w:val="%2."/>
      <w:lvlJc w:val="left"/>
      <w:pPr>
        <w:ind w:left="1748" w:hanging="360"/>
      </w:pPr>
    </w:lvl>
    <w:lvl w:ilvl="2" w:tplc="FFFFFFFF" w:tentative="1">
      <w:start w:val="1"/>
      <w:numFmt w:val="lowerRoman"/>
      <w:lvlText w:val="%3."/>
      <w:lvlJc w:val="right"/>
      <w:pPr>
        <w:ind w:left="2468" w:hanging="180"/>
      </w:pPr>
    </w:lvl>
    <w:lvl w:ilvl="3" w:tplc="FFFFFFFF" w:tentative="1">
      <w:start w:val="1"/>
      <w:numFmt w:val="decimal"/>
      <w:lvlText w:val="%4."/>
      <w:lvlJc w:val="left"/>
      <w:pPr>
        <w:ind w:left="3188" w:hanging="360"/>
      </w:pPr>
    </w:lvl>
    <w:lvl w:ilvl="4" w:tplc="FFFFFFFF" w:tentative="1">
      <w:start w:val="1"/>
      <w:numFmt w:val="lowerLetter"/>
      <w:lvlText w:val="%5."/>
      <w:lvlJc w:val="left"/>
      <w:pPr>
        <w:ind w:left="3908" w:hanging="360"/>
      </w:pPr>
    </w:lvl>
    <w:lvl w:ilvl="5" w:tplc="FFFFFFFF" w:tentative="1">
      <w:start w:val="1"/>
      <w:numFmt w:val="lowerRoman"/>
      <w:lvlText w:val="%6."/>
      <w:lvlJc w:val="right"/>
      <w:pPr>
        <w:ind w:left="4628" w:hanging="180"/>
      </w:pPr>
    </w:lvl>
    <w:lvl w:ilvl="6" w:tplc="FFFFFFFF" w:tentative="1">
      <w:start w:val="1"/>
      <w:numFmt w:val="decimal"/>
      <w:lvlText w:val="%7."/>
      <w:lvlJc w:val="left"/>
      <w:pPr>
        <w:ind w:left="5348" w:hanging="360"/>
      </w:pPr>
    </w:lvl>
    <w:lvl w:ilvl="7" w:tplc="FFFFFFFF" w:tentative="1">
      <w:start w:val="1"/>
      <w:numFmt w:val="lowerLetter"/>
      <w:lvlText w:val="%8."/>
      <w:lvlJc w:val="left"/>
      <w:pPr>
        <w:ind w:left="6068" w:hanging="360"/>
      </w:pPr>
    </w:lvl>
    <w:lvl w:ilvl="8" w:tplc="FFFFFFFF" w:tentative="1">
      <w:start w:val="1"/>
      <w:numFmt w:val="lowerRoman"/>
      <w:lvlText w:val="%9."/>
      <w:lvlJc w:val="right"/>
      <w:pPr>
        <w:ind w:left="6788" w:hanging="180"/>
      </w:pPr>
    </w:lvl>
  </w:abstractNum>
  <w:abstractNum w:abstractNumId="43" w15:restartNumberingAfterBreak="0">
    <w:nsid w:val="18760B66"/>
    <w:multiLevelType w:val="multilevel"/>
    <w:tmpl w:val="A82AC930"/>
    <w:lvl w:ilvl="0">
      <w:numFmt w:val="bullet"/>
      <w:lvlText w:val=""/>
      <w:lvlJc w:val="left"/>
      <w:pPr>
        <w:ind w:left="502" w:hanging="360"/>
      </w:pPr>
      <w:rPr>
        <w:rFonts w:ascii="Symbol" w:eastAsia="Times New Roman"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89D6E99"/>
    <w:multiLevelType w:val="hybridMultilevel"/>
    <w:tmpl w:val="0EE24ECC"/>
    <w:lvl w:ilvl="0" w:tplc="07FEED4C">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1985346F"/>
    <w:multiLevelType w:val="multilevel"/>
    <w:tmpl w:val="916A2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9B439B1"/>
    <w:multiLevelType w:val="multilevel"/>
    <w:tmpl w:val="E430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9E04A3A"/>
    <w:multiLevelType w:val="multilevel"/>
    <w:tmpl w:val="B76EA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F60950"/>
    <w:multiLevelType w:val="multilevel"/>
    <w:tmpl w:val="D098FD86"/>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bullet"/>
      <w:lvlText w:val="o"/>
      <w:lvlJc w:val="left"/>
      <w:pPr>
        <w:ind w:left="360" w:hanging="360"/>
      </w:pPr>
      <w:rPr>
        <w:rFonts w:ascii="Courier New" w:eastAsia="Courier New" w:hAnsi="Courier New" w:cs="Courier New"/>
        <w:sz w:val="20"/>
        <w:szCs w:val="20"/>
      </w:r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bullet"/>
      <w:lvlText w:val="▪"/>
      <w:lvlJc w:val="left"/>
      <w:pPr>
        <w:ind w:left="2520" w:hanging="360"/>
      </w:pPr>
      <w:rPr>
        <w:rFonts w:ascii="Noto Sans Symbols" w:eastAsia="Noto Sans Symbols" w:hAnsi="Noto Sans Symbols" w:cs="Noto Sans Symbols"/>
        <w:sz w:val="20"/>
        <w:szCs w:val="20"/>
      </w:rPr>
    </w:lvl>
    <w:lvl w:ilvl="4">
      <w:start w:val="1"/>
      <w:numFmt w:val="bullet"/>
      <w:lvlText w:val="▪"/>
      <w:lvlJc w:val="left"/>
      <w:pPr>
        <w:ind w:left="3240" w:hanging="360"/>
      </w:pPr>
      <w:rPr>
        <w:rFonts w:ascii="Noto Sans Symbols" w:eastAsia="Noto Sans Symbols" w:hAnsi="Noto Sans Symbols" w:cs="Noto Sans Symbols"/>
        <w:sz w:val="20"/>
        <w:szCs w:val="20"/>
      </w:rPr>
    </w:lvl>
    <w:lvl w:ilvl="5">
      <w:start w:val="1"/>
      <w:numFmt w:val="bullet"/>
      <w:lvlText w:val="▪"/>
      <w:lvlJc w:val="left"/>
      <w:pPr>
        <w:ind w:left="3960" w:hanging="360"/>
      </w:pPr>
      <w:rPr>
        <w:rFonts w:ascii="Noto Sans Symbols" w:eastAsia="Noto Sans Symbols" w:hAnsi="Noto Sans Symbols" w:cs="Noto Sans Symbols"/>
        <w:sz w:val="20"/>
        <w:szCs w:val="20"/>
      </w:rPr>
    </w:lvl>
    <w:lvl w:ilvl="6">
      <w:start w:val="1"/>
      <w:numFmt w:val="bullet"/>
      <w:lvlText w:val="▪"/>
      <w:lvlJc w:val="left"/>
      <w:pPr>
        <w:ind w:left="4680" w:hanging="360"/>
      </w:pPr>
      <w:rPr>
        <w:rFonts w:ascii="Noto Sans Symbols" w:eastAsia="Noto Sans Symbols" w:hAnsi="Noto Sans Symbols" w:cs="Noto Sans Symbols"/>
        <w:sz w:val="20"/>
        <w:szCs w:val="20"/>
      </w:rPr>
    </w:lvl>
    <w:lvl w:ilvl="7">
      <w:start w:val="1"/>
      <w:numFmt w:val="bullet"/>
      <w:lvlText w:val="▪"/>
      <w:lvlJc w:val="left"/>
      <w:pPr>
        <w:ind w:left="5400" w:hanging="360"/>
      </w:pPr>
      <w:rPr>
        <w:rFonts w:ascii="Noto Sans Symbols" w:eastAsia="Noto Sans Symbols" w:hAnsi="Noto Sans Symbols" w:cs="Noto Sans Symbols"/>
        <w:sz w:val="20"/>
        <w:szCs w:val="20"/>
      </w:rPr>
    </w:lvl>
    <w:lvl w:ilvl="8">
      <w:start w:val="1"/>
      <w:numFmt w:val="bullet"/>
      <w:lvlText w:val="▪"/>
      <w:lvlJc w:val="left"/>
      <w:pPr>
        <w:ind w:left="6120" w:hanging="360"/>
      </w:pPr>
      <w:rPr>
        <w:rFonts w:ascii="Noto Sans Symbols" w:eastAsia="Noto Sans Symbols" w:hAnsi="Noto Sans Symbols" w:cs="Noto Sans Symbols"/>
        <w:sz w:val="20"/>
        <w:szCs w:val="20"/>
      </w:rPr>
    </w:lvl>
  </w:abstractNum>
  <w:abstractNum w:abstractNumId="49" w15:restartNumberingAfterBreak="0">
    <w:nsid w:val="1B066CC4"/>
    <w:multiLevelType w:val="multilevel"/>
    <w:tmpl w:val="E0F6E46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785"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0" w15:restartNumberingAfterBreak="0">
    <w:nsid w:val="1C0656FE"/>
    <w:multiLevelType w:val="multilevel"/>
    <w:tmpl w:val="262CA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C146D8A"/>
    <w:multiLevelType w:val="multilevel"/>
    <w:tmpl w:val="39B09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643"/>
        </w:tabs>
        <w:ind w:left="643"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D91099E"/>
    <w:multiLevelType w:val="multilevel"/>
    <w:tmpl w:val="336AC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E7117F4"/>
    <w:multiLevelType w:val="multilevel"/>
    <w:tmpl w:val="387EAC62"/>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4" w15:restartNumberingAfterBreak="0">
    <w:nsid w:val="1E78151E"/>
    <w:multiLevelType w:val="hybridMultilevel"/>
    <w:tmpl w:val="90941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07428F0"/>
    <w:multiLevelType w:val="multilevel"/>
    <w:tmpl w:val="908277E4"/>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Calibri" w:eastAsiaTheme="minorHAnsi" w:hAnsi="Calibri" w:cs="Calibri"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6" w15:restartNumberingAfterBreak="0">
    <w:nsid w:val="22A254D3"/>
    <w:multiLevelType w:val="hybridMultilevel"/>
    <w:tmpl w:val="D5862754"/>
    <w:lvl w:ilvl="0" w:tplc="FFFFFFFF">
      <w:start w:val="1"/>
      <w:numFmt w:val="decimal"/>
      <w:lvlText w:val="%1."/>
      <w:lvlJc w:val="left"/>
      <w:pPr>
        <w:ind w:left="4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30771BE"/>
    <w:multiLevelType w:val="multilevel"/>
    <w:tmpl w:val="F31C408E"/>
    <w:lvl w:ilvl="0">
      <w:start w:val="1"/>
      <w:numFmt w:val="bullet"/>
      <w:lvlText w:val="-"/>
      <w:lvlJc w:val="left"/>
      <w:pPr>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3564727"/>
    <w:multiLevelType w:val="hybridMultilevel"/>
    <w:tmpl w:val="4E74409A"/>
    <w:lvl w:ilvl="0" w:tplc="9DF423EE">
      <w:numFmt w:val="bullet"/>
      <w:lvlText w:val=""/>
      <w:lvlJc w:val="left"/>
      <w:pPr>
        <w:ind w:left="630" w:hanging="360"/>
      </w:pPr>
      <w:rPr>
        <w:rFonts w:ascii="Symbol" w:eastAsia="Times New Roman" w:hAnsi="Symbol" w:hint="default"/>
        <w:color w:val="FFFFFF" w:themeColor="background1"/>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9" w15:restartNumberingAfterBreak="0">
    <w:nsid w:val="24DA7E58"/>
    <w:multiLevelType w:val="hybridMultilevel"/>
    <w:tmpl w:val="7BDC3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25AA2D32"/>
    <w:multiLevelType w:val="hybridMultilevel"/>
    <w:tmpl w:val="1E145CFA"/>
    <w:lvl w:ilvl="0" w:tplc="7F0209FE">
      <w:start w:val="1"/>
      <w:numFmt w:val="bullet"/>
      <w:lvlText w:val=""/>
      <w:lvlJc w:val="left"/>
      <w:pPr>
        <w:ind w:left="720" w:hanging="360"/>
      </w:pPr>
      <w:rPr>
        <w:rFonts w:ascii="Wingdings" w:hAnsi="Wingdings" w:hint="default"/>
        <w:b w:val="0"/>
        <w:bCs w:val="0"/>
        <w:i w:val="0"/>
        <w:iCs w:val="0"/>
        <w:caps w:val="0"/>
        <w:smallCaps w:val="0"/>
        <w:strike w:val="0"/>
        <w:dstrike w:val="0"/>
        <w:color w:val="1896A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26456ADE"/>
    <w:multiLevelType w:val="multilevel"/>
    <w:tmpl w:val="268E5C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6624042"/>
    <w:multiLevelType w:val="multilevel"/>
    <w:tmpl w:val="9D289E0E"/>
    <w:lvl w:ilvl="0">
      <w:start w:val="1"/>
      <w:numFmt w:val="decimal"/>
      <w:lvlText w:val="%1."/>
      <w:lvlJc w:val="left"/>
      <w:pPr>
        <w:tabs>
          <w:tab w:val="num" w:pos="720"/>
        </w:tabs>
        <w:ind w:left="720" w:hanging="360"/>
      </w:pPr>
    </w:lvl>
    <w:lvl w:ilvl="1">
      <w:start w:val="1"/>
      <w:numFmt w:val="bullet"/>
      <w:lvlText w:val="-"/>
      <w:lvlJc w:val="left"/>
      <w:pPr>
        <w:ind w:left="643"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95F5ED5"/>
    <w:multiLevelType w:val="hybridMultilevel"/>
    <w:tmpl w:val="AB044D20"/>
    <w:lvl w:ilvl="0" w:tplc="7F0209FE">
      <w:start w:val="1"/>
      <w:numFmt w:val="bullet"/>
      <w:lvlText w:val=""/>
      <w:lvlJc w:val="left"/>
      <w:pPr>
        <w:ind w:left="720" w:hanging="360"/>
      </w:pPr>
      <w:rPr>
        <w:rFonts w:ascii="Wingdings" w:hAnsi="Wingdings" w:hint="default"/>
        <w:b w:val="0"/>
        <w:bCs w:val="0"/>
        <w:i w:val="0"/>
        <w:iCs w:val="0"/>
        <w:caps w:val="0"/>
        <w:smallCaps w:val="0"/>
        <w:strike w:val="0"/>
        <w:dstrike w:val="0"/>
        <w:color w:val="1896A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299E46EF"/>
    <w:multiLevelType w:val="multilevel"/>
    <w:tmpl w:val="EB40B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9EE50D7"/>
    <w:multiLevelType w:val="hybridMultilevel"/>
    <w:tmpl w:val="F75E9A68"/>
    <w:lvl w:ilvl="0" w:tplc="7F0209FE">
      <w:start w:val="1"/>
      <w:numFmt w:val="bullet"/>
      <w:lvlText w:val=""/>
      <w:lvlJc w:val="left"/>
      <w:pPr>
        <w:ind w:left="720" w:hanging="360"/>
      </w:pPr>
      <w:rPr>
        <w:rFonts w:ascii="Wingdings" w:hAnsi="Wingdings" w:hint="default"/>
        <w:b w:val="0"/>
        <w:bCs w:val="0"/>
        <w:i w:val="0"/>
        <w:iCs w:val="0"/>
        <w:caps w:val="0"/>
        <w:smallCaps w:val="0"/>
        <w:strike w:val="0"/>
        <w:dstrike w:val="0"/>
        <w:color w:val="1896A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2AA52E07"/>
    <w:multiLevelType w:val="multilevel"/>
    <w:tmpl w:val="153E661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643"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7" w15:restartNumberingAfterBreak="0">
    <w:nsid w:val="2AEC58C7"/>
    <w:multiLevelType w:val="hybridMultilevel"/>
    <w:tmpl w:val="3014E9A2"/>
    <w:lvl w:ilvl="0" w:tplc="93DE1F5E">
      <w:start w:val="1"/>
      <w:numFmt w:val="bullet"/>
      <w:lvlText w:val="•"/>
      <w:lvlJc w:val="left"/>
      <w:pPr>
        <w:tabs>
          <w:tab w:val="num" w:pos="720"/>
        </w:tabs>
        <w:ind w:left="720" w:hanging="360"/>
      </w:pPr>
      <w:rPr>
        <w:rFonts w:ascii="Arial" w:hAnsi="Arial" w:hint="default"/>
      </w:rPr>
    </w:lvl>
    <w:lvl w:ilvl="1" w:tplc="BE5AFC28" w:tentative="1">
      <w:start w:val="1"/>
      <w:numFmt w:val="bullet"/>
      <w:lvlText w:val="•"/>
      <w:lvlJc w:val="left"/>
      <w:pPr>
        <w:tabs>
          <w:tab w:val="num" w:pos="1440"/>
        </w:tabs>
        <w:ind w:left="1440" w:hanging="360"/>
      </w:pPr>
      <w:rPr>
        <w:rFonts w:ascii="Arial" w:hAnsi="Arial" w:hint="default"/>
      </w:rPr>
    </w:lvl>
    <w:lvl w:ilvl="2" w:tplc="55FAC548" w:tentative="1">
      <w:start w:val="1"/>
      <w:numFmt w:val="bullet"/>
      <w:lvlText w:val="•"/>
      <w:lvlJc w:val="left"/>
      <w:pPr>
        <w:tabs>
          <w:tab w:val="num" w:pos="2160"/>
        </w:tabs>
        <w:ind w:left="2160" w:hanging="360"/>
      </w:pPr>
      <w:rPr>
        <w:rFonts w:ascii="Arial" w:hAnsi="Arial" w:hint="default"/>
      </w:rPr>
    </w:lvl>
    <w:lvl w:ilvl="3" w:tplc="D3B0AD78" w:tentative="1">
      <w:start w:val="1"/>
      <w:numFmt w:val="bullet"/>
      <w:lvlText w:val="•"/>
      <w:lvlJc w:val="left"/>
      <w:pPr>
        <w:tabs>
          <w:tab w:val="num" w:pos="2880"/>
        </w:tabs>
        <w:ind w:left="2880" w:hanging="360"/>
      </w:pPr>
      <w:rPr>
        <w:rFonts w:ascii="Arial" w:hAnsi="Arial" w:hint="default"/>
      </w:rPr>
    </w:lvl>
    <w:lvl w:ilvl="4" w:tplc="6FFEE8CE" w:tentative="1">
      <w:start w:val="1"/>
      <w:numFmt w:val="bullet"/>
      <w:lvlText w:val="•"/>
      <w:lvlJc w:val="left"/>
      <w:pPr>
        <w:tabs>
          <w:tab w:val="num" w:pos="3600"/>
        </w:tabs>
        <w:ind w:left="3600" w:hanging="360"/>
      </w:pPr>
      <w:rPr>
        <w:rFonts w:ascii="Arial" w:hAnsi="Arial" w:hint="default"/>
      </w:rPr>
    </w:lvl>
    <w:lvl w:ilvl="5" w:tplc="DF045836" w:tentative="1">
      <w:start w:val="1"/>
      <w:numFmt w:val="bullet"/>
      <w:lvlText w:val="•"/>
      <w:lvlJc w:val="left"/>
      <w:pPr>
        <w:tabs>
          <w:tab w:val="num" w:pos="4320"/>
        </w:tabs>
        <w:ind w:left="4320" w:hanging="360"/>
      </w:pPr>
      <w:rPr>
        <w:rFonts w:ascii="Arial" w:hAnsi="Arial" w:hint="default"/>
      </w:rPr>
    </w:lvl>
    <w:lvl w:ilvl="6" w:tplc="7848F04E" w:tentative="1">
      <w:start w:val="1"/>
      <w:numFmt w:val="bullet"/>
      <w:lvlText w:val="•"/>
      <w:lvlJc w:val="left"/>
      <w:pPr>
        <w:tabs>
          <w:tab w:val="num" w:pos="5040"/>
        </w:tabs>
        <w:ind w:left="5040" w:hanging="360"/>
      </w:pPr>
      <w:rPr>
        <w:rFonts w:ascii="Arial" w:hAnsi="Arial" w:hint="default"/>
      </w:rPr>
    </w:lvl>
    <w:lvl w:ilvl="7" w:tplc="88C6A5FA" w:tentative="1">
      <w:start w:val="1"/>
      <w:numFmt w:val="bullet"/>
      <w:lvlText w:val="•"/>
      <w:lvlJc w:val="left"/>
      <w:pPr>
        <w:tabs>
          <w:tab w:val="num" w:pos="5760"/>
        </w:tabs>
        <w:ind w:left="5760" w:hanging="360"/>
      </w:pPr>
      <w:rPr>
        <w:rFonts w:ascii="Arial" w:hAnsi="Arial" w:hint="default"/>
      </w:rPr>
    </w:lvl>
    <w:lvl w:ilvl="8" w:tplc="DF601AAC" w:tentative="1">
      <w:start w:val="1"/>
      <w:numFmt w:val="bullet"/>
      <w:lvlText w:val="•"/>
      <w:lvlJc w:val="left"/>
      <w:pPr>
        <w:tabs>
          <w:tab w:val="num" w:pos="6480"/>
        </w:tabs>
        <w:ind w:left="6480" w:hanging="360"/>
      </w:pPr>
      <w:rPr>
        <w:rFonts w:ascii="Arial" w:hAnsi="Arial" w:hint="default"/>
      </w:rPr>
    </w:lvl>
  </w:abstractNum>
  <w:abstractNum w:abstractNumId="68" w15:restartNumberingAfterBreak="0">
    <w:nsid w:val="2B516B3F"/>
    <w:multiLevelType w:val="multilevel"/>
    <w:tmpl w:val="268AF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DAF3CB4"/>
    <w:multiLevelType w:val="multilevel"/>
    <w:tmpl w:val="18221E1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785"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0" w15:restartNumberingAfterBreak="0">
    <w:nsid w:val="2E047E98"/>
    <w:multiLevelType w:val="multilevel"/>
    <w:tmpl w:val="B44EC33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1" w15:restartNumberingAfterBreak="0">
    <w:nsid w:val="2E594925"/>
    <w:multiLevelType w:val="multilevel"/>
    <w:tmpl w:val="88849D5E"/>
    <w:lvl w:ilvl="0">
      <w:start w:val="1"/>
      <w:numFmt w:val="decimal"/>
      <w:lvlText w:val="%1."/>
      <w:lvlJc w:val="left"/>
      <w:pPr>
        <w:ind w:left="720" w:hanging="360"/>
      </w:pPr>
    </w:lvl>
    <w:lvl w:ilvl="1">
      <w:numFmt w:val="bullet"/>
      <w:lvlText w:val="●"/>
      <w:lvlJc w:val="left"/>
      <w:pPr>
        <w:ind w:left="502" w:hanging="360"/>
      </w:pPr>
      <w:rPr>
        <w:rFonts w:ascii="Noto Sans Symbols" w:eastAsia="Noto Sans Symbols" w:hAnsi="Noto Sans Symbols" w:cs="Noto Sans Symbols"/>
        <w:color w:val="00000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2" w15:restartNumberingAfterBreak="0">
    <w:nsid w:val="2EBC0F85"/>
    <w:multiLevelType w:val="multilevel"/>
    <w:tmpl w:val="2BCA71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F6B55BB"/>
    <w:multiLevelType w:val="hybridMultilevel"/>
    <w:tmpl w:val="6EFC3EB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30683DF0"/>
    <w:multiLevelType w:val="multilevel"/>
    <w:tmpl w:val="268AFDC6"/>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13C13BA"/>
    <w:multiLevelType w:val="hybridMultilevel"/>
    <w:tmpl w:val="F44A6962"/>
    <w:lvl w:ilvl="0" w:tplc="04090003">
      <w:start w:val="1"/>
      <w:numFmt w:val="bullet"/>
      <w:lvlText w:val="o"/>
      <w:lvlJc w:val="left"/>
      <w:pPr>
        <w:ind w:left="927" w:hanging="360"/>
      </w:pPr>
      <w:rPr>
        <w:rFonts w:ascii="Courier New" w:hAnsi="Courier New" w:cs="Courier New" w:hint="default"/>
      </w:rPr>
    </w:lvl>
    <w:lvl w:ilvl="1" w:tplc="04090003" w:tentative="1">
      <w:start w:val="1"/>
      <w:numFmt w:val="bullet"/>
      <w:lvlText w:val="o"/>
      <w:lvlJc w:val="left"/>
      <w:pPr>
        <w:ind w:left="1647" w:hanging="360"/>
      </w:pPr>
      <w:rPr>
        <w:rFonts w:ascii="Courier New" w:hAnsi="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6" w15:restartNumberingAfterBreak="0">
    <w:nsid w:val="317A4A29"/>
    <w:multiLevelType w:val="hybridMultilevel"/>
    <w:tmpl w:val="86A04EA6"/>
    <w:lvl w:ilvl="0" w:tplc="7F0209FE">
      <w:start w:val="1"/>
      <w:numFmt w:val="bullet"/>
      <w:lvlText w:val=""/>
      <w:lvlJc w:val="left"/>
      <w:pPr>
        <w:ind w:left="360" w:hanging="360"/>
      </w:pPr>
      <w:rPr>
        <w:rFonts w:ascii="Wingdings" w:hAnsi="Wingdings" w:hint="default"/>
        <w:b w:val="0"/>
        <w:bCs w:val="0"/>
        <w:i w:val="0"/>
        <w:iCs w:val="0"/>
        <w:caps w:val="0"/>
        <w:smallCaps w:val="0"/>
        <w:strike w:val="0"/>
        <w:dstrike w:val="0"/>
        <w:color w:val="1896A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31985A05"/>
    <w:multiLevelType w:val="multilevel"/>
    <w:tmpl w:val="820CA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21B6DC7"/>
    <w:multiLevelType w:val="hybridMultilevel"/>
    <w:tmpl w:val="53D47FA4"/>
    <w:lvl w:ilvl="0" w:tplc="07FEED4C">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15:restartNumberingAfterBreak="0">
    <w:nsid w:val="3348005C"/>
    <w:multiLevelType w:val="multilevel"/>
    <w:tmpl w:val="D5A82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491624F"/>
    <w:multiLevelType w:val="multilevel"/>
    <w:tmpl w:val="6BD0785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643"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1" w15:restartNumberingAfterBreak="0">
    <w:nsid w:val="34927B97"/>
    <w:multiLevelType w:val="hybridMultilevel"/>
    <w:tmpl w:val="9CFC0D46"/>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2" w15:restartNumberingAfterBreak="0">
    <w:nsid w:val="34C77AA8"/>
    <w:multiLevelType w:val="multilevel"/>
    <w:tmpl w:val="268AFDC6"/>
    <w:lvl w:ilvl="0">
      <w:start w:val="1"/>
      <w:numFmt w:val="decimal"/>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4E60686"/>
    <w:multiLevelType w:val="multilevel"/>
    <w:tmpl w:val="0AE43E0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4" w15:restartNumberingAfterBreak="0">
    <w:nsid w:val="36326AFF"/>
    <w:multiLevelType w:val="hybridMultilevel"/>
    <w:tmpl w:val="EAEC1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37085D08"/>
    <w:multiLevelType w:val="multilevel"/>
    <w:tmpl w:val="925EA022"/>
    <w:lvl w:ilvl="0">
      <w:start w:val="1"/>
      <w:numFmt w:val="bullet"/>
      <w:lvlText w:val=""/>
      <w:lvlJc w:val="left"/>
      <w:pPr>
        <w:tabs>
          <w:tab w:val="num" w:pos="502"/>
        </w:tabs>
        <w:ind w:left="502" w:hanging="360"/>
      </w:pPr>
      <w:rPr>
        <w:rFonts w:ascii="Symbol" w:hAnsi="Symbol" w:hint="default"/>
        <w:sz w:val="20"/>
      </w:rPr>
    </w:lvl>
    <w:lvl w:ilvl="1">
      <w:start w:val="1"/>
      <w:numFmt w:val="bullet"/>
      <w:lvlText w:val="o"/>
      <w:lvlJc w:val="left"/>
      <w:pPr>
        <w:tabs>
          <w:tab w:val="num" w:pos="502"/>
        </w:tabs>
        <w:ind w:left="502"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7493379"/>
    <w:multiLevelType w:val="hybridMultilevel"/>
    <w:tmpl w:val="F34C4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375E5CF3"/>
    <w:multiLevelType w:val="hybridMultilevel"/>
    <w:tmpl w:val="55E81C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38C46CA0"/>
    <w:multiLevelType w:val="multilevel"/>
    <w:tmpl w:val="06F8C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8E742F6"/>
    <w:multiLevelType w:val="hybridMultilevel"/>
    <w:tmpl w:val="2E12E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3A8830B6"/>
    <w:multiLevelType w:val="hybridMultilevel"/>
    <w:tmpl w:val="D862D23C"/>
    <w:lvl w:ilvl="0" w:tplc="CEE48152">
      <w:start w:val="1"/>
      <w:numFmt w:val="bullet"/>
      <w:lvlText w:val="•"/>
      <w:lvlJc w:val="left"/>
      <w:pPr>
        <w:tabs>
          <w:tab w:val="num" w:pos="720"/>
        </w:tabs>
        <w:ind w:left="720" w:hanging="360"/>
      </w:pPr>
      <w:rPr>
        <w:rFonts w:ascii="Arial" w:hAnsi="Arial" w:hint="default"/>
      </w:rPr>
    </w:lvl>
    <w:lvl w:ilvl="1" w:tplc="99F26A12" w:tentative="1">
      <w:start w:val="1"/>
      <w:numFmt w:val="bullet"/>
      <w:lvlText w:val="•"/>
      <w:lvlJc w:val="left"/>
      <w:pPr>
        <w:tabs>
          <w:tab w:val="num" w:pos="1440"/>
        </w:tabs>
        <w:ind w:left="1440" w:hanging="360"/>
      </w:pPr>
      <w:rPr>
        <w:rFonts w:ascii="Arial" w:hAnsi="Arial" w:hint="default"/>
      </w:rPr>
    </w:lvl>
    <w:lvl w:ilvl="2" w:tplc="B088E2CE" w:tentative="1">
      <w:start w:val="1"/>
      <w:numFmt w:val="bullet"/>
      <w:lvlText w:val="•"/>
      <w:lvlJc w:val="left"/>
      <w:pPr>
        <w:tabs>
          <w:tab w:val="num" w:pos="2160"/>
        </w:tabs>
        <w:ind w:left="2160" w:hanging="360"/>
      </w:pPr>
      <w:rPr>
        <w:rFonts w:ascii="Arial" w:hAnsi="Arial" w:hint="default"/>
      </w:rPr>
    </w:lvl>
    <w:lvl w:ilvl="3" w:tplc="A6384DF6" w:tentative="1">
      <w:start w:val="1"/>
      <w:numFmt w:val="bullet"/>
      <w:lvlText w:val="•"/>
      <w:lvlJc w:val="left"/>
      <w:pPr>
        <w:tabs>
          <w:tab w:val="num" w:pos="2880"/>
        </w:tabs>
        <w:ind w:left="2880" w:hanging="360"/>
      </w:pPr>
      <w:rPr>
        <w:rFonts w:ascii="Arial" w:hAnsi="Arial" w:hint="default"/>
      </w:rPr>
    </w:lvl>
    <w:lvl w:ilvl="4" w:tplc="2604C074" w:tentative="1">
      <w:start w:val="1"/>
      <w:numFmt w:val="bullet"/>
      <w:lvlText w:val="•"/>
      <w:lvlJc w:val="left"/>
      <w:pPr>
        <w:tabs>
          <w:tab w:val="num" w:pos="3600"/>
        </w:tabs>
        <w:ind w:left="3600" w:hanging="360"/>
      </w:pPr>
      <w:rPr>
        <w:rFonts w:ascii="Arial" w:hAnsi="Arial" w:hint="default"/>
      </w:rPr>
    </w:lvl>
    <w:lvl w:ilvl="5" w:tplc="C7545846" w:tentative="1">
      <w:start w:val="1"/>
      <w:numFmt w:val="bullet"/>
      <w:lvlText w:val="•"/>
      <w:lvlJc w:val="left"/>
      <w:pPr>
        <w:tabs>
          <w:tab w:val="num" w:pos="4320"/>
        </w:tabs>
        <w:ind w:left="4320" w:hanging="360"/>
      </w:pPr>
      <w:rPr>
        <w:rFonts w:ascii="Arial" w:hAnsi="Arial" w:hint="default"/>
      </w:rPr>
    </w:lvl>
    <w:lvl w:ilvl="6" w:tplc="DA02398C" w:tentative="1">
      <w:start w:val="1"/>
      <w:numFmt w:val="bullet"/>
      <w:lvlText w:val="•"/>
      <w:lvlJc w:val="left"/>
      <w:pPr>
        <w:tabs>
          <w:tab w:val="num" w:pos="5040"/>
        </w:tabs>
        <w:ind w:left="5040" w:hanging="360"/>
      </w:pPr>
      <w:rPr>
        <w:rFonts w:ascii="Arial" w:hAnsi="Arial" w:hint="default"/>
      </w:rPr>
    </w:lvl>
    <w:lvl w:ilvl="7" w:tplc="23CEE026" w:tentative="1">
      <w:start w:val="1"/>
      <w:numFmt w:val="bullet"/>
      <w:lvlText w:val="•"/>
      <w:lvlJc w:val="left"/>
      <w:pPr>
        <w:tabs>
          <w:tab w:val="num" w:pos="5760"/>
        </w:tabs>
        <w:ind w:left="5760" w:hanging="360"/>
      </w:pPr>
      <w:rPr>
        <w:rFonts w:ascii="Arial" w:hAnsi="Arial" w:hint="default"/>
      </w:rPr>
    </w:lvl>
    <w:lvl w:ilvl="8" w:tplc="8F30B93C" w:tentative="1">
      <w:start w:val="1"/>
      <w:numFmt w:val="bullet"/>
      <w:lvlText w:val="•"/>
      <w:lvlJc w:val="left"/>
      <w:pPr>
        <w:tabs>
          <w:tab w:val="num" w:pos="6480"/>
        </w:tabs>
        <w:ind w:left="6480" w:hanging="360"/>
      </w:pPr>
      <w:rPr>
        <w:rFonts w:ascii="Arial" w:hAnsi="Arial" w:hint="default"/>
      </w:rPr>
    </w:lvl>
  </w:abstractNum>
  <w:abstractNum w:abstractNumId="91" w15:restartNumberingAfterBreak="0">
    <w:nsid w:val="3A9B12BD"/>
    <w:multiLevelType w:val="hybridMultilevel"/>
    <w:tmpl w:val="C386A8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3B237564"/>
    <w:multiLevelType w:val="hybridMultilevel"/>
    <w:tmpl w:val="3A8440A6"/>
    <w:lvl w:ilvl="0" w:tplc="0409000F">
      <w:start w:val="1"/>
      <w:numFmt w:val="decimal"/>
      <w:lvlText w:val="%1."/>
      <w:lvlJc w:val="left"/>
      <w:pPr>
        <w:ind w:left="4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3B7F368B"/>
    <w:multiLevelType w:val="multilevel"/>
    <w:tmpl w:val="CF38314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3BAA2A07"/>
    <w:multiLevelType w:val="hybridMultilevel"/>
    <w:tmpl w:val="2E04C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3C3921C6"/>
    <w:multiLevelType w:val="multilevel"/>
    <w:tmpl w:val="CA744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C496DA8"/>
    <w:multiLevelType w:val="hybridMultilevel"/>
    <w:tmpl w:val="25E065E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15:restartNumberingAfterBreak="0">
    <w:nsid w:val="3E4B1208"/>
    <w:multiLevelType w:val="hybridMultilevel"/>
    <w:tmpl w:val="E774F8B8"/>
    <w:lvl w:ilvl="0" w:tplc="66C4E188">
      <w:start w:val="1"/>
      <w:numFmt w:val="bullet"/>
      <w:lvlText w:val="•"/>
      <w:lvlJc w:val="left"/>
      <w:pPr>
        <w:tabs>
          <w:tab w:val="num" w:pos="720"/>
        </w:tabs>
        <w:ind w:left="720" w:hanging="360"/>
      </w:pPr>
      <w:rPr>
        <w:rFonts w:ascii="Arial" w:hAnsi="Arial" w:hint="default"/>
      </w:rPr>
    </w:lvl>
    <w:lvl w:ilvl="1" w:tplc="ABEC06BE" w:tentative="1">
      <w:start w:val="1"/>
      <w:numFmt w:val="bullet"/>
      <w:lvlText w:val="•"/>
      <w:lvlJc w:val="left"/>
      <w:pPr>
        <w:tabs>
          <w:tab w:val="num" w:pos="1440"/>
        </w:tabs>
        <w:ind w:left="1440" w:hanging="360"/>
      </w:pPr>
      <w:rPr>
        <w:rFonts w:ascii="Arial" w:hAnsi="Arial" w:hint="default"/>
      </w:rPr>
    </w:lvl>
    <w:lvl w:ilvl="2" w:tplc="EB98EA0E" w:tentative="1">
      <w:start w:val="1"/>
      <w:numFmt w:val="bullet"/>
      <w:lvlText w:val="•"/>
      <w:lvlJc w:val="left"/>
      <w:pPr>
        <w:tabs>
          <w:tab w:val="num" w:pos="2160"/>
        </w:tabs>
        <w:ind w:left="2160" w:hanging="360"/>
      </w:pPr>
      <w:rPr>
        <w:rFonts w:ascii="Arial" w:hAnsi="Arial" w:hint="default"/>
      </w:rPr>
    </w:lvl>
    <w:lvl w:ilvl="3" w:tplc="B18CC5F2" w:tentative="1">
      <w:start w:val="1"/>
      <w:numFmt w:val="bullet"/>
      <w:lvlText w:val="•"/>
      <w:lvlJc w:val="left"/>
      <w:pPr>
        <w:tabs>
          <w:tab w:val="num" w:pos="2880"/>
        </w:tabs>
        <w:ind w:left="2880" w:hanging="360"/>
      </w:pPr>
      <w:rPr>
        <w:rFonts w:ascii="Arial" w:hAnsi="Arial" w:hint="default"/>
      </w:rPr>
    </w:lvl>
    <w:lvl w:ilvl="4" w:tplc="83445130" w:tentative="1">
      <w:start w:val="1"/>
      <w:numFmt w:val="bullet"/>
      <w:lvlText w:val="•"/>
      <w:lvlJc w:val="left"/>
      <w:pPr>
        <w:tabs>
          <w:tab w:val="num" w:pos="3600"/>
        </w:tabs>
        <w:ind w:left="3600" w:hanging="360"/>
      </w:pPr>
      <w:rPr>
        <w:rFonts w:ascii="Arial" w:hAnsi="Arial" w:hint="default"/>
      </w:rPr>
    </w:lvl>
    <w:lvl w:ilvl="5" w:tplc="EEC8290C" w:tentative="1">
      <w:start w:val="1"/>
      <w:numFmt w:val="bullet"/>
      <w:lvlText w:val="•"/>
      <w:lvlJc w:val="left"/>
      <w:pPr>
        <w:tabs>
          <w:tab w:val="num" w:pos="4320"/>
        </w:tabs>
        <w:ind w:left="4320" w:hanging="360"/>
      </w:pPr>
      <w:rPr>
        <w:rFonts w:ascii="Arial" w:hAnsi="Arial" w:hint="default"/>
      </w:rPr>
    </w:lvl>
    <w:lvl w:ilvl="6" w:tplc="2C040856" w:tentative="1">
      <w:start w:val="1"/>
      <w:numFmt w:val="bullet"/>
      <w:lvlText w:val="•"/>
      <w:lvlJc w:val="left"/>
      <w:pPr>
        <w:tabs>
          <w:tab w:val="num" w:pos="5040"/>
        </w:tabs>
        <w:ind w:left="5040" w:hanging="360"/>
      </w:pPr>
      <w:rPr>
        <w:rFonts w:ascii="Arial" w:hAnsi="Arial" w:hint="default"/>
      </w:rPr>
    </w:lvl>
    <w:lvl w:ilvl="7" w:tplc="0BD40DF2" w:tentative="1">
      <w:start w:val="1"/>
      <w:numFmt w:val="bullet"/>
      <w:lvlText w:val="•"/>
      <w:lvlJc w:val="left"/>
      <w:pPr>
        <w:tabs>
          <w:tab w:val="num" w:pos="5760"/>
        </w:tabs>
        <w:ind w:left="5760" w:hanging="360"/>
      </w:pPr>
      <w:rPr>
        <w:rFonts w:ascii="Arial" w:hAnsi="Arial" w:hint="default"/>
      </w:rPr>
    </w:lvl>
    <w:lvl w:ilvl="8" w:tplc="3D12463A" w:tentative="1">
      <w:start w:val="1"/>
      <w:numFmt w:val="bullet"/>
      <w:lvlText w:val="•"/>
      <w:lvlJc w:val="left"/>
      <w:pPr>
        <w:tabs>
          <w:tab w:val="num" w:pos="6480"/>
        </w:tabs>
        <w:ind w:left="6480" w:hanging="360"/>
      </w:pPr>
      <w:rPr>
        <w:rFonts w:ascii="Arial" w:hAnsi="Arial" w:hint="default"/>
      </w:rPr>
    </w:lvl>
  </w:abstractNum>
  <w:abstractNum w:abstractNumId="98" w15:restartNumberingAfterBreak="0">
    <w:nsid w:val="407E5539"/>
    <w:multiLevelType w:val="multilevel"/>
    <w:tmpl w:val="457E653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9" w15:restartNumberingAfterBreak="0">
    <w:nsid w:val="417565C6"/>
    <w:multiLevelType w:val="multilevel"/>
    <w:tmpl w:val="101EC89C"/>
    <w:lvl w:ilvl="0">
      <w:start w:val="1"/>
      <w:numFmt w:val="decimal"/>
      <w:lvlText w:val="%1."/>
      <w:lvlJc w:val="left"/>
      <w:pPr>
        <w:tabs>
          <w:tab w:val="num" w:pos="360"/>
        </w:tabs>
        <w:ind w:left="360" w:hanging="360"/>
      </w:pPr>
    </w:lvl>
    <w:lvl w:ilvl="1">
      <w:start w:val="1"/>
      <w:numFmt w:val="bullet"/>
      <w:lvlText w:val=""/>
      <w:lvlJc w:val="left"/>
      <w:pPr>
        <w:ind w:left="540" w:hanging="360"/>
      </w:pPr>
      <w:rPr>
        <w:rFonts w:ascii="Wingdings" w:hAnsi="Wingdings" w:hint="default"/>
        <w:b w:val="0"/>
        <w:bCs w:val="0"/>
        <w:i w:val="0"/>
        <w:iCs w:val="0"/>
        <w:caps w:val="0"/>
        <w:smallCaps w:val="0"/>
        <w:strike w:val="0"/>
        <w:dstrike w:val="0"/>
        <w:color w:val="1896A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0" w15:restartNumberingAfterBreak="0">
    <w:nsid w:val="418C4CD0"/>
    <w:multiLevelType w:val="multilevel"/>
    <w:tmpl w:val="1108C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1C42ECD"/>
    <w:multiLevelType w:val="hybridMultilevel"/>
    <w:tmpl w:val="394EC0A2"/>
    <w:lvl w:ilvl="0" w:tplc="878682D4">
      <w:numFmt w:val="bullet"/>
      <w:lvlText w:val=""/>
      <w:lvlJc w:val="left"/>
      <w:pPr>
        <w:ind w:left="720" w:hanging="360"/>
      </w:pPr>
      <w:rPr>
        <w:rFonts w:ascii="Symbol" w:eastAsia="Times New Roman" w:hAnsi="Symbol" w:hint="default"/>
        <w:color w:val="FFFFFF" w:themeColor="background1"/>
      </w:rPr>
    </w:lvl>
    <w:lvl w:ilvl="1" w:tplc="FFFFFFFF" w:tentative="1">
      <w:start w:val="1"/>
      <w:numFmt w:val="bullet"/>
      <w:lvlText w:val="o"/>
      <w:lvlJc w:val="left"/>
      <w:pPr>
        <w:ind w:left="1350" w:hanging="360"/>
      </w:pPr>
      <w:rPr>
        <w:rFonts w:ascii="Courier New" w:hAnsi="Courier New" w:hint="default"/>
      </w:rPr>
    </w:lvl>
    <w:lvl w:ilvl="2" w:tplc="FFFFFFFF" w:tentative="1">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102" w15:restartNumberingAfterBreak="0">
    <w:nsid w:val="431B3688"/>
    <w:multiLevelType w:val="multilevel"/>
    <w:tmpl w:val="6F68499C"/>
    <w:lvl w:ilvl="0">
      <w:start w:val="1"/>
      <w:numFmt w:val="bullet"/>
      <w:lvlText w:val="●"/>
      <w:lvlJc w:val="left"/>
      <w:pPr>
        <w:ind w:left="502" w:hanging="360"/>
      </w:pPr>
      <w:rPr>
        <w:rFonts w:ascii="Noto Sans Symbols" w:eastAsia="Noto Sans Symbols" w:hAnsi="Noto Sans Symbols" w:cs="Noto Sans Symbols"/>
        <w:sz w:val="20"/>
        <w:szCs w:val="20"/>
      </w:rPr>
    </w:lvl>
    <w:lvl w:ilvl="1">
      <w:start w:val="1"/>
      <w:numFmt w:val="bullet"/>
      <w:lvlText w:val="o"/>
      <w:lvlJc w:val="left"/>
      <w:pPr>
        <w:ind w:left="502"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3" w15:restartNumberingAfterBreak="0">
    <w:nsid w:val="43350DB3"/>
    <w:multiLevelType w:val="hybridMultilevel"/>
    <w:tmpl w:val="0FC0AD32"/>
    <w:lvl w:ilvl="0" w:tplc="0409000F">
      <w:start w:val="1"/>
      <w:numFmt w:val="decimal"/>
      <w:lvlText w:val="%1."/>
      <w:lvlJc w:val="left"/>
      <w:pPr>
        <w:ind w:left="450" w:hanging="360"/>
      </w:p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04" w15:restartNumberingAfterBreak="0">
    <w:nsid w:val="438F0066"/>
    <w:multiLevelType w:val="multilevel"/>
    <w:tmpl w:val="3DC06A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469E4D29"/>
    <w:multiLevelType w:val="hybridMultilevel"/>
    <w:tmpl w:val="CC9C3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70E24A6"/>
    <w:multiLevelType w:val="hybridMultilevel"/>
    <w:tmpl w:val="4C7C9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47375AE9"/>
    <w:multiLevelType w:val="hybridMultilevel"/>
    <w:tmpl w:val="B090FE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481E5BFF"/>
    <w:multiLevelType w:val="hybridMultilevel"/>
    <w:tmpl w:val="316098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488B4FCB"/>
    <w:multiLevelType w:val="multilevel"/>
    <w:tmpl w:val="E1A65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8D95EAA"/>
    <w:multiLevelType w:val="multilevel"/>
    <w:tmpl w:val="F4342C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4A486A8F"/>
    <w:multiLevelType w:val="hybridMultilevel"/>
    <w:tmpl w:val="19B44F2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4B315607"/>
    <w:multiLevelType w:val="hybridMultilevel"/>
    <w:tmpl w:val="1EA64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4B427250"/>
    <w:multiLevelType w:val="hybridMultilevel"/>
    <w:tmpl w:val="87EE34A8"/>
    <w:lvl w:ilvl="0" w:tplc="6E9A7E66">
      <w:start w:val="1"/>
      <w:numFmt w:val="bullet"/>
      <w:lvlText w:val="•"/>
      <w:lvlJc w:val="left"/>
      <w:pPr>
        <w:tabs>
          <w:tab w:val="num" w:pos="720"/>
        </w:tabs>
        <w:ind w:left="720" w:hanging="360"/>
      </w:pPr>
      <w:rPr>
        <w:rFonts w:ascii="Arial" w:hAnsi="Arial" w:hint="default"/>
      </w:rPr>
    </w:lvl>
    <w:lvl w:ilvl="1" w:tplc="73B674D8" w:tentative="1">
      <w:start w:val="1"/>
      <w:numFmt w:val="bullet"/>
      <w:lvlText w:val="•"/>
      <w:lvlJc w:val="left"/>
      <w:pPr>
        <w:tabs>
          <w:tab w:val="num" w:pos="1440"/>
        </w:tabs>
        <w:ind w:left="1440" w:hanging="360"/>
      </w:pPr>
      <w:rPr>
        <w:rFonts w:ascii="Arial" w:hAnsi="Arial" w:hint="default"/>
      </w:rPr>
    </w:lvl>
    <w:lvl w:ilvl="2" w:tplc="11FAE000" w:tentative="1">
      <w:start w:val="1"/>
      <w:numFmt w:val="bullet"/>
      <w:lvlText w:val="•"/>
      <w:lvlJc w:val="left"/>
      <w:pPr>
        <w:tabs>
          <w:tab w:val="num" w:pos="2160"/>
        </w:tabs>
        <w:ind w:left="2160" w:hanging="360"/>
      </w:pPr>
      <w:rPr>
        <w:rFonts w:ascii="Arial" w:hAnsi="Arial" w:hint="default"/>
      </w:rPr>
    </w:lvl>
    <w:lvl w:ilvl="3" w:tplc="21029F90" w:tentative="1">
      <w:start w:val="1"/>
      <w:numFmt w:val="bullet"/>
      <w:lvlText w:val="•"/>
      <w:lvlJc w:val="left"/>
      <w:pPr>
        <w:tabs>
          <w:tab w:val="num" w:pos="2880"/>
        </w:tabs>
        <w:ind w:left="2880" w:hanging="360"/>
      </w:pPr>
      <w:rPr>
        <w:rFonts w:ascii="Arial" w:hAnsi="Arial" w:hint="default"/>
      </w:rPr>
    </w:lvl>
    <w:lvl w:ilvl="4" w:tplc="E00CC330" w:tentative="1">
      <w:start w:val="1"/>
      <w:numFmt w:val="bullet"/>
      <w:lvlText w:val="•"/>
      <w:lvlJc w:val="left"/>
      <w:pPr>
        <w:tabs>
          <w:tab w:val="num" w:pos="3600"/>
        </w:tabs>
        <w:ind w:left="3600" w:hanging="360"/>
      </w:pPr>
      <w:rPr>
        <w:rFonts w:ascii="Arial" w:hAnsi="Arial" w:hint="default"/>
      </w:rPr>
    </w:lvl>
    <w:lvl w:ilvl="5" w:tplc="C1AC8250" w:tentative="1">
      <w:start w:val="1"/>
      <w:numFmt w:val="bullet"/>
      <w:lvlText w:val="•"/>
      <w:lvlJc w:val="left"/>
      <w:pPr>
        <w:tabs>
          <w:tab w:val="num" w:pos="4320"/>
        </w:tabs>
        <w:ind w:left="4320" w:hanging="360"/>
      </w:pPr>
      <w:rPr>
        <w:rFonts w:ascii="Arial" w:hAnsi="Arial" w:hint="default"/>
      </w:rPr>
    </w:lvl>
    <w:lvl w:ilvl="6" w:tplc="C758FD2A" w:tentative="1">
      <w:start w:val="1"/>
      <w:numFmt w:val="bullet"/>
      <w:lvlText w:val="•"/>
      <w:lvlJc w:val="left"/>
      <w:pPr>
        <w:tabs>
          <w:tab w:val="num" w:pos="5040"/>
        </w:tabs>
        <w:ind w:left="5040" w:hanging="360"/>
      </w:pPr>
      <w:rPr>
        <w:rFonts w:ascii="Arial" w:hAnsi="Arial" w:hint="default"/>
      </w:rPr>
    </w:lvl>
    <w:lvl w:ilvl="7" w:tplc="C9428B24" w:tentative="1">
      <w:start w:val="1"/>
      <w:numFmt w:val="bullet"/>
      <w:lvlText w:val="•"/>
      <w:lvlJc w:val="left"/>
      <w:pPr>
        <w:tabs>
          <w:tab w:val="num" w:pos="5760"/>
        </w:tabs>
        <w:ind w:left="5760" w:hanging="360"/>
      </w:pPr>
      <w:rPr>
        <w:rFonts w:ascii="Arial" w:hAnsi="Arial" w:hint="default"/>
      </w:rPr>
    </w:lvl>
    <w:lvl w:ilvl="8" w:tplc="55064F82" w:tentative="1">
      <w:start w:val="1"/>
      <w:numFmt w:val="bullet"/>
      <w:lvlText w:val="•"/>
      <w:lvlJc w:val="left"/>
      <w:pPr>
        <w:tabs>
          <w:tab w:val="num" w:pos="6480"/>
        </w:tabs>
        <w:ind w:left="6480" w:hanging="360"/>
      </w:pPr>
      <w:rPr>
        <w:rFonts w:ascii="Arial" w:hAnsi="Arial" w:hint="default"/>
      </w:rPr>
    </w:lvl>
  </w:abstractNum>
  <w:abstractNum w:abstractNumId="114" w15:restartNumberingAfterBreak="0">
    <w:nsid w:val="4C5A4D46"/>
    <w:multiLevelType w:val="multilevel"/>
    <w:tmpl w:val="9C86303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5" w15:restartNumberingAfterBreak="0">
    <w:nsid w:val="4D56309F"/>
    <w:multiLevelType w:val="multilevel"/>
    <w:tmpl w:val="089CB9C0"/>
    <w:lvl w:ilvl="0">
      <w:start w:val="1"/>
      <w:numFmt w:val="bullet"/>
      <w:lvlText w:val=""/>
      <w:lvlJc w:val="left"/>
      <w:pPr>
        <w:ind w:left="502" w:hanging="360"/>
      </w:pPr>
      <w:rPr>
        <w:rFonts w:ascii="Wingdings" w:hAnsi="Wingdings" w:hint="default"/>
        <w:b w:val="0"/>
        <w:bCs w:val="0"/>
        <w:i w:val="0"/>
        <w:iCs w:val="0"/>
        <w:caps w:val="0"/>
        <w:smallCaps w:val="0"/>
        <w:strike w:val="0"/>
        <w:dstrike w:val="0"/>
        <w:color w:val="1896A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ind w:left="1222" w:hanging="360"/>
      </w:pPr>
    </w:lvl>
    <w:lvl w:ilvl="2">
      <w:start w:val="1"/>
      <w:numFmt w:val="decimal"/>
      <w:lvlText w:val="%3."/>
      <w:lvlJc w:val="left"/>
      <w:pPr>
        <w:ind w:left="1942" w:hanging="360"/>
      </w:pPr>
    </w:lvl>
    <w:lvl w:ilvl="3">
      <w:start w:val="1"/>
      <w:numFmt w:val="decimal"/>
      <w:lvlText w:val="%4."/>
      <w:lvlJc w:val="left"/>
      <w:pPr>
        <w:ind w:left="2662" w:hanging="360"/>
      </w:pPr>
    </w:lvl>
    <w:lvl w:ilvl="4">
      <w:start w:val="1"/>
      <w:numFmt w:val="decimal"/>
      <w:lvlText w:val="%5."/>
      <w:lvlJc w:val="left"/>
      <w:pPr>
        <w:ind w:left="3382" w:hanging="360"/>
      </w:pPr>
    </w:lvl>
    <w:lvl w:ilvl="5">
      <w:start w:val="1"/>
      <w:numFmt w:val="decimal"/>
      <w:lvlText w:val="%6."/>
      <w:lvlJc w:val="left"/>
      <w:pPr>
        <w:ind w:left="4102" w:hanging="360"/>
      </w:pPr>
    </w:lvl>
    <w:lvl w:ilvl="6">
      <w:start w:val="1"/>
      <w:numFmt w:val="decimal"/>
      <w:lvlText w:val="%7."/>
      <w:lvlJc w:val="left"/>
      <w:pPr>
        <w:ind w:left="4822" w:hanging="360"/>
      </w:pPr>
    </w:lvl>
    <w:lvl w:ilvl="7">
      <w:start w:val="1"/>
      <w:numFmt w:val="decimal"/>
      <w:lvlText w:val="%8."/>
      <w:lvlJc w:val="left"/>
      <w:pPr>
        <w:ind w:left="5542" w:hanging="360"/>
      </w:pPr>
    </w:lvl>
    <w:lvl w:ilvl="8">
      <w:start w:val="1"/>
      <w:numFmt w:val="decimal"/>
      <w:lvlText w:val="%9."/>
      <w:lvlJc w:val="left"/>
      <w:pPr>
        <w:ind w:left="6262" w:hanging="360"/>
      </w:pPr>
    </w:lvl>
  </w:abstractNum>
  <w:abstractNum w:abstractNumId="116" w15:restartNumberingAfterBreak="0">
    <w:nsid w:val="4DFB6287"/>
    <w:multiLevelType w:val="hybridMultilevel"/>
    <w:tmpl w:val="C22C8262"/>
    <w:lvl w:ilvl="0" w:tplc="FFFFFFFF">
      <w:start w:val="1"/>
      <w:numFmt w:val="decimal"/>
      <w:lvlText w:val="%1."/>
      <w:lvlJc w:val="left"/>
      <w:pPr>
        <w:ind w:left="450" w:hanging="360"/>
      </w:pPr>
    </w:lvl>
    <w:lvl w:ilvl="1" w:tplc="FFFFFFFF" w:tentative="1">
      <w:start w:val="1"/>
      <w:numFmt w:val="lowerLetter"/>
      <w:lvlText w:val="%2."/>
      <w:lvlJc w:val="left"/>
      <w:pPr>
        <w:ind w:left="990" w:hanging="360"/>
      </w:pPr>
    </w:lvl>
    <w:lvl w:ilvl="2" w:tplc="FFFFFFFF" w:tentative="1">
      <w:start w:val="1"/>
      <w:numFmt w:val="lowerRoman"/>
      <w:lvlText w:val="%3."/>
      <w:lvlJc w:val="right"/>
      <w:pPr>
        <w:ind w:left="1710" w:hanging="180"/>
      </w:pPr>
    </w:lvl>
    <w:lvl w:ilvl="3" w:tplc="FFFFFFFF" w:tentative="1">
      <w:start w:val="1"/>
      <w:numFmt w:val="decimal"/>
      <w:lvlText w:val="%4."/>
      <w:lvlJc w:val="left"/>
      <w:pPr>
        <w:ind w:left="2430" w:hanging="360"/>
      </w:pPr>
    </w:lvl>
    <w:lvl w:ilvl="4" w:tplc="FFFFFFFF" w:tentative="1">
      <w:start w:val="1"/>
      <w:numFmt w:val="lowerLetter"/>
      <w:lvlText w:val="%5."/>
      <w:lvlJc w:val="left"/>
      <w:pPr>
        <w:ind w:left="3150" w:hanging="360"/>
      </w:pPr>
    </w:lvl>
    <w:lvl w:ilvl="5" w:tplc="FFFFFFFF" w:tentative="1">
      <w:start w:val="1"/>
      <w:numFmt w:val="lowerRoman"/>
      <w:lvlText w:val="%6."/>
      <w:lvlJc w:val="right"/>
      <w:pPr>
        <w:ind w:left="3870" w:hanging="180"/>
      </w:pPr>
    </w:lvl>
    <w:lvl w:ilvl="6" w:tplc="FFFFFFFF" w:tentative="1">
      <w:start w:val="1"/>
      <w:numFmt w:val="decimal"/>
      <w:lvlText w:val="%7."/>
      <w:lvlJc w:val="left"/>
      <w:pPr>
        <w:ind w:left="4590" w:hanging="360"/>
      </w:pPr>
    </w:lvl>
    <w:lvl w:ilvl="7" w:tplc="FFFFFFFF" w:tentative="1">
      <w:start w:val="1"/>
      <w:numFmt w:val="lowerLetter"/>
      <w:lvlText w:val="%8."/>
      <w:lvlJc w:val="left"/>
      <w:pPr>
        <w:ind w:left="5310" w:hanging="360"/>
      </w:pPr>
    </w:lvl>
    <w:lvl w:ilvl="8" w:tplc="FFFFFFFF" w:tentative="1">
      <w:start w:val="1"/>
      <w:numFmt w:val="lowerRoman"/>
      <w:lvlText w:val="%9."/>
      <w:lvlJc w:val="right"/>
      <w:pPr>
        <w:ind w:left="6030" w:hanging="180"/>
      </w:pPr>
    </w:lvl>
  </w:abstractNum>
  <w:abstractNum w:abstractNumId="117" w15:restartNumberingAfterBreak="0">
    <w:nsid w:val="4F041275"/>
    <w:multiLevelType w:val="multilevel"/>
    <w:tmpl w:val="8F42597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51196E91"/>
    <w:multiLevelType w:val="hybridMultilevel"/>
    <w:tmpl w:val="1F4037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51BD0330"/>
    <w:multiLevelType w:val="multilevel"/>
    <w:tmpl w:val="E3D28B1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0" w15:restartNumberingAfterBreak="0">
    <w:nsid w:val="522B71CC"/>
    <w:multiLevelType w:val="multilevel"/>
    <w:tmpl w:val="268AF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52622F98"/>
    <w:multiLevelType w:val="hybridMultilevel"/>
    <w:tmpl w:val="4ECEA7BC"/>
    <w:lvl w:ilvl="0" w:tplc="85F0AAD6">
      <w:start w:val="1"/>
      <w:numFmt w:val="bullet"/>
      <w:lvlText w:val="•"/>
      <w:lvlJc w:val="left"/>
      <w:pPr>
        <w:tabs>
          <w:tab w:val="num" w:pos="720"/>
        </w:tabs>
        <w:ind w:left="720" w:hanging="360"/>
      </w:pPr>
      <w:rPr>
        <w:rFonts w:ascii="Arial" w:hAnsi="Arial" w:hint="default"/>
      </w:rPr>
    </w:lvl>
    <w:lvl w:ilvl="1" w:tplc="41C473DC" w:tentative="1">
      <w:start w:val="1"/>
      <w:numFmt w:val="bullet"/>
      <w:lvlText w:val="•"/>
      <w:lvlJc w:val="left"/>
      <w:pPr>
        <w:tabs>
          <w:tab w:val="num" w:pos="1440"/>
        </w:tabs>
        <w:ind w:left="1440" w:hanging="360"/>
      </w:pPr>
      <w:rPr>
        <w:rFonts w:ascii="Arial" w:hAnsi="Arial" w:hint="default"/>
      </w:rPr>
    </w:lvl>
    <w:lvl w:ilvl="2" w:tplc="2BC6A1FA" w:tentative="1">
      <w:start w:val="1"/>
      <w:numFmt w:val="bullet"/>
      <w:lvlText w:val="•"/>
      <w:lvlJc w:val="left"/>
      <w:pPr>
        <w:tabs>
          <w:tab w:val="num" w:pos="2160"/>
        </w:tabs>
        <w:ind w:left="2160" w:hanging="360"/>
      </w:pPr>
      <w:rPr>
        <w:rFonts w:ascii="Arial" w:hAnsi="Arial" w:hint="default"/>
      </w:rPr>
    </w:lvl>
    <w:lvl w:ilvl="3" w:tplc="7E0ABAE4" w:tentative="1">
      <w:start w:val="1"/>
      <w:numFmt w:val="bullet"/>
      <w:lvlText w:val="•"/>
      <w:lvlJc w:val="left"/>
      <w:pPr>
        <w:tabs>
          <w:tab w:val="num" w:pos="2880"/>
        </w:tabs>
        <w:ind w:left="2880" w:hanging="360"/>
      </w:pPr>
      <w:rPr>
        <w:rFonts w:ascii="Arial" w:hAnsi="Arial" w:hint="default"/>
      </w:rPr>
    </w:lvl>
    <w:lvl w:ilvl="4" w:tplc="4B30F790" w:tentative="1">
      <w:start w:val="1"/>
      <w:numFmt w:val="bullet"/>
      <w:lvlText w:val="•"/>
      <w:lvlJc w:val="left"/>
      <w:pPr>
        <w:tabs>
          <w:tab w:val="num" w:pos="3600"/>
        </w:tabs>
        <w:ind w:left="3600" w:hanging="360"/>
      </w:pPr>
      <w:rPr>
        <w:rFonts w:ascii="Arial" w:hAnsi="Arial" w:hint="default"/>
      </w:rPr>
    </w:lvl>
    <w:lvl w:ilvl="5" w:tplc="0972B498" w:tentative="1">
      <w:start w:val="1"/>
      <w:numFmt w:val="bullet"/>
      <w:lvlText w:val="•"/>
      <w:lvlJc w:val="left"/>
      <w:pPr>
        <w:tabs>
          <w:tab w:val="num" w:pos="4320"/>
        </w:tabs>
        <w:ind w:left="4320" w:hanging="360"/>
      </w:pPr>
      <w:rPr>
        <w:rFonts w:ascii="Arial" w:hAnsi="Arial" w:hint="default"/>
      </w:rPr>
    </w:lvl>
    <w:lvl w:ilvl="6" w:tplc="995E50EA" w:tentative="1">
      <w:start w:val="1"/>
      <w:numFmt w:val="bullet"/>
      <w:lvlText w:val="•"/>
      <w:lvlJc w:val="left"/>
      <w:pPr>
        <w:tabs>
          <w:tab w:val="num" w:pos="5040"/>
        </w:tabs>
        <w:ind w:left="5040" w:hanging="360"/>
      </w:pPr>
      <w:rPr>
        <w:rFonts w:ascii="Arial" w:hAnsi="Arial" w:hint="default"/>
      </w:rPr>
    </w:lvl>
    <w:lvl w:ilvl="7" w:tplc="B20C1918" w:tentative="1">
      <w:start w:val="1"/>
      <w:numFmt w:val="bullet"/>
      <w:lvlText w:val="•"/>
      <w:lvlJc w:val="left"/>
      <w:pPr>
        <w:tabs>
          <w:tab w:val="num" w:pos="5760"/>
        </w:tabs>
        <w:ind w:left="5760" w:hanging="360"/>
      </w:pPr>
      <w:rPr>
        <w:rFonts w:ascii="Arial" w:hAnsi="Arial" w:hint="default"/>
      </w:rPr>
    </w:lvl>
    <w:lvl w:ilvl="8" w:tplc="1A2EC09A" w:tentative="1">
      <w:start w:val="1"/>
      <w:numFmt w:val="bullet"/>
      <w:lvlText w:val="•"/>
      <w:lvlJc w:val="left"/>
      <w:pPr>
        <w:tabs>
          <w:tab w:val="num" w:pos="6480"/>
        </w:tabs>
        <w:ind w:left="6480" w:hanging="360"/>
      </w:pPr>
      <w:rPr>
        <w:rFonts w:ascii="Arial" w:hAnsi="Arial" w:hint="default"/>
      </w:rPr>
    </w:lvl>
  </w:abstractNum>
  <w:abstractNum w:abstractNumId="122" w15:restartNumberingAfterBreak="0">
    <w:nsid w:val="52E555AD"/>
    <w:multiLevelType w:val="multilevel"/>
    <w:tmpl w:val="10B8D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53DB4A54"/>
    <w:multiLevelType w:val="multilevel"/>
    <w:tmpl w:val="66C02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4091E70"/>
    <w:multiLevelType w:val="multilevel"/>
    <w:tmpl w:val="C1C2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42D1193"/>
    <w:multiLevelType w:val="hybridMultilevel"/>
    <w:tmpl w:val="F3CEA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55264AD2"/>
    <w:multiLevelType w:val="hybridMultilevel"/>
    <w:tmpl w:val="AEEAB3E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554E4C5F"/>
    <w:multiLevelType w:val="multilevel"/>
    <w:tmpl w:val="6BBC6426"/>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Calibri" w:eastAsiaTheme="minorHAnsi" w:hAnsi="Calibri" w:cs="Calibri"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8" w15:restartNumberingAfterBreak="0">
    <w:nsid w:val="569D172C"/>
    <w:multiLevelType w:val="multilevel"/>
    <w:tmpl w:val="743EE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6C10188"/>
    <w:multiLevelType w:val="hybridMultilevel"/>
    <w:tmpl w:val="EAA427F0"/>
    <w:lvl w:ilvl="0" w:tplc="7FA2CF72">
      <w:start w:val="1"/>
      <w:numFmt w:val="bullet"/>
      <w:lvlText w:val="§"/>
      <w:lvlJc w:val="left"/>
      <w:pPr>
        <w:tabs>
          <w:tab w:val="num" w:pos="720"/>
        </w:tabs>
        <w:ind w:left="720" w:hanging="360"/>
      </w:pPr>
      <w:rPr>
        <w:rFonts w:ascii="Wingdings" w:hAnsi="Wingdings" w:hint="default"/>
      </w:rPr>
    </w:lvl>
    <w:lvl w:ilvl="1" w:tplc="EC5E76CE" w:tentative="1">
      <w:start w:val="1"/>
      <w:numFmt w:val="bullet"/>
      <w:lvlText w:val="§"/>
      <w:lvlJc w:val="left"/>
      <w:pPr>
        <w:tabs>
          <w:tab w:val="num" w:pos="1440"/>
        </w:tabs>
        <w:ind w:left="1440" w:hanging="360"/>
      </w:pPr>
      <w:rPr>
        <w:rFonts w:ascii="Wingdings" w:hAnsi="Wingdings" w:hint="default"/>
      </w:rPr>
    </w:lvl>
    <w:lvl w:ilvl="2" w:tplc="253E085E" w:tentative="1">
      <w:start w:val="1"/>
      <w:numFmt w:val="bullet"/>
      <w:lvlText w:val="§"/>
      <w:lvlJc w:val="left"/>
      <w:pPr>
        <w:tabs>
          <w:tab w:val="num" w:pos="2160"/>
        </w:tabs>
        <w:ind w:left="2160" w:hanging="360"/>
      </w:pPr>
      <w:rPr>
        <w:rFonts w:ascii="Wingdings" w:hAnsi="Wingdings" w:hint="default"/>
      </w:rPr>
    </w:lvl>
    <w:lvl w:ilvl="3" w:tplc="7AA0BE3E" w:tentative="1">
      <w:start w:val="1"/>
      <w:numFmt w:val="bullet"/>
      <w:lvlText w:val="§"/>
      <w:lvlJc w:val="left"/>
      <w:pPr>
        <w:tabs>
          <w:tab w:val="num" w:pos="2880"/>
        </w:tabs>
        <w:ind w:left="2880" w:hanging="360"/>
      </w:pPr>
      <w:rPr>
        <w:rFonts w:ascii="Wingdings" w:hAnsi="Wingdings" w:hint="default"/>
      </w:rPr>
    </w:lvl>
    <w:lvl w:ilvl="4" w:tplc="BFEC4B70" w:tentative="1">
      <w:start w:val="1"/>
      <w:numFmt w:val="bullet"/>
      <w:lvlText w:val="§"/>
      <w:lvlJc w:val="left"/>
      <w:pPr>
        <w:tabs>
          <w:tab w:val="num" w:pos="3600"/>
        </w:tabs>
        <w:ind w:left="3600" w:hanging="360"/>
      </w:pPr>
      <w:rPr>
        <w:rFonts w:ascii="Wingdings" w:hAnsi="Wingdings" w:hint="default"/>
      </w:rPr>
    </w:lvl>
    <w:lvl w:ilvl="5" w:tplc="9E721232" w:tentative="1">
      <w:start w:val="1"/>
      <w:numFmt w:val="bullet"/>
      <w:lvlText w:val="§"/>
      <w:lvlJc w:val="left"/>
      <w:pPr>
        <w:tabs>
          <w:tab w:val="num" w:pos="4320"/>
        </w:tabs>
        <w:ind w:left="4320" w:hanging="360"/>
      </w:pPr>
      <w:rPr>
        <w:rFonts w:ascii="Wingdings" w:hAnsi="Wingdings" w:hint="default"/>
      </w:rPr>
    </w:lvl>
    <w:lvl w:ilvl="6" w:tplc="4B9CFBCA" w:tentative="1">
      <w:start w:val="1"/>
      <w:numFmt w:val="bullet"/>
      <w:lvlText w:val="§"/>
      <w:lvlJc w:val="left"/>
      <w:pPr>
        <w:tabs>
          <w:tab w:val="num" w:pos="5040"/>
        </w:tabs>
        <w:ind w:left="5040" w:hanging="360"/>
      </w:pPr>
      <w:rPr>
        <w:rFonts w:ascii="Wingdings" w:hAnsi="Wingdings" w:hint="default"/>
      </w:rPr>
    </w:lvl>
    <w:lvl w:ilvl="7" w:tplc="0AF6F88A" w:tentative="1">
      <w:start w:val="1"/>
      <w:numFmt w:val="bullet"/>
      <w:lvlText w:val="§"/>
      <w:lvlJc w:val="left"/>
      <w:pPr>
        <w:tabs>
          <w:tab w:val="num" w:pos="5760"/>
        </w:tabs>
        <w:ind w:left="5760" w:hanging="360"/>
      </w:pPr>
      <w:rPr>
        <w:rFonts w:ascii="Wingdings" w:hAnsi="Wingdings" w:hint="default"/>
      </w:rPr>
    </w:lvl>
    <w:lvl w:ilvl="8" w:tplc="4BE04BA2" w:tentative="1">
      <w:start w:val="1"/>
      <w:numFmt w:val="bullet"/>
      <w:lvlText w:val="§"/>
      <w:lvlJc w:val="left"/>
      <w:pPr>
        <w:tabs>
          <w:tab w:val="num" w:pos="6480"/>
        </w:tabs>
        <w:ind w:left="6480" w:hanging="360"/>
      </w:pPr>
      <w:rPr>
        <w:rFonts w:ascii="Wingdings" w:hAnsi="Wingdings" w:hint="default"/>
      </w:rPr>
    </w:lvl>
  </w:abstractNum>
  <w:abstractNum w:abstractNumId="130" w15:restartNumberingAfterBreak="0">
    <w:nsid w:val="577F7AE5"/>
    <w:multiLevelType w:val="multilevel"/>
    <w:tmpl w:val="D6F2A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91B229C"/>
    <w:multiLevelType w:val="hybridMultilevel"/>
    <w:tmpl w:val="C3F085CE"/>
    <w:lvl w:ilvl="0" w:tplc="A588CC28">
      <w:start w:val="1"/>
      <w:numFmt w:val="decimal"/>
      <w:lvlText w:val="%1."/>
      <w:lvlJc w:val="left"/>
      <w:pPr>
        <w:tabs>
          <w:tab w:val="num" w:pos="720"/>
        </w:tabs>
        <w:ind w:left="720" w:hanging="360"/>
      </w:pPr>
    </w:lvl>
    <w:lvl w:ilvl="1" w:tplc="B94877A2" w:tentative="1">
      <w:start w:val="1"/>
      <w:numFmt w:val="decimal"/>
      <w:lvlText w:val="%2."/>
      <w:lvlJc w:val="left"/>
      <w:pPr>
        <w:tabs>
          <w:tab w:val="num" w:pos="1440"/>
        </w:tabs>
        <w:ind w:left="1440" w:hanging="360"/>
      </w:pPr>
    </w:lvl>
    <w:lvl w:ilvl="2" w:tplc="078A96D6" w:tentative="1">
      <w:start w:val="1"/>
      <w:numFmt w:val="decimal"/>
      <w:lvlText w:val="%3."/>
      <w:lvlJc w:val="left"/>
      <w:pPr>
        <w:tabs>
          <w:tab w:val="num" w:pos="2160"/>
        </w:tabs>
        <w:ind w:left="2160" w:hanging="360"/>
      </w:pPr>
    </w:lvl>
    <w:lvl w:ilvl="3" w:tplc="2FEA8C78" w:tentative="1">
      <w:start w:val="1"/>
      <w:numFmt w:val="decimal"/>
      <w:lvlText w:val="%4."/>
      <w:lvlJc w:val="left"/>
      <w:pPr>
        <w:tabs>
          <w:tab w:val="num" w:pos="2880"/>
        </w:tabs>
        <w:ind w:left="2880" w:hanging="360"/>
      </w:pPr>
    </w:lvl>
    <w:lvl w:ilvl="4" w:tplc="4880C7FC" w:tentative="1">
      <w:start w:val="1"/>
      <w:numFmt w:val="decimal"/>
      <w:lvlText w:val="%5."/>
      <w:lvlJc w:val="left"/>
      <w:pPr>
        <w:tabs>
          <w:tab w:val="num" w:pos="3600"/>
        </w:tabs>
        <w:ind w:left="3600" w:hanging="360"/>
      </w:pPr>
    </w:lvl>
    <w:lvl w:ilvl="5" w:tplc="BE404D18" w:tentative="1">
      <w:start w:val="1"/>
      <w:numFmt w:val="decimal"/>
      <w:lvlText w:val="%6."/>
      <w:lvlJc w:val="left"/>
      <w:pPr>
        <w:tabs>
          <w:tab w:val="num" w:pos="4320"/>
        </w:tabs>
        <w:ind w:left="4320" w:hanging="360"/>
      </w:pPr>
    </w:lvl>
    <w:lvl w:ilvl="6" w:tplc="E520A738" w:tentative="1">
      <w:start w:val="1"/>
      <w:numFmt w:val="decimal"/>
      <w:lvlText w:val="%7."/>
      <w:lvlJc w:val="left"/>
      <w:pPr>
        <w:tabs>
          <w:tab w:val="num" w:pos="5040"/>
        </w:tabs>
        <w:ind w:left="5040" w:hanging="360"/>
      </w:pPr>
    </w:lvl>
    <w:lvl w:ilvl="7" w:tplc="9E58093A" w:tentative="1">
      <w:start w:val="1"/>
      <w:numFmt w:val="decimal"/>
      <w:lvlText w:val="%8."/>
      <w:lvlJc w:val="left"/>
      <w:pPr>
        <w:tabs>
          <w:tab w:val="num" w:pos="5760"/>
        </w:tabs>
        <w:ind w:left="5760" w:hanging="360"/>
      </w:pPr>
    </w:lvl>
    <w:lvl w:ilvl="8" w:tplc="36A260DA" w:tentative="1">
      <w:start w:val="1"/>
      <w:numFmt w:val="decimal"/>
      <w:lvlText w:val="%9."/>
      <w:lvlJc w:val="left"/>
      <w:pPr>
        <w:tabs>
          <w:tab w:val="num" w:pos="6480"/>
        </w:tabs>
        <w:ind w:left="6480" w:hanging="360"/>
      </w:pPr>
    </w:lvl>
  </w:abstractNum>
  <w:abstractNum w:abstractNumId="132" w15:restartNumberingAfterBreak="0">
    <w:nsid w:val="598179AA"/>
    <w:multiLevelType w:val="hybridMultilevel"/>
    <w:tmpl w:val="8CCC113A"/>
    <w:lvl w:ilvl="0" w:tplc="4D82E67E">
      <w:start w:val="1"/>
      <w:numFmt w:val="bullet"/>
      <w:lvlText w:val="•"/>
      <w:lvlJc w:val="left"/>
      <w:pPr>
        <w:tabs>
          <w:tab w:val="num" w:pos="720"/>
        </w:tabs>
        <w:ind w:left="720" w:hanging="360"/>
      </w:pPr>
      <w:rPr>
        <w:rFonts w:ascii="Arial" w:hAnsi="Arial" w:hint="default"/>
      </w:rPr>
    </w:lvl>
    <w:lvl w:ilvl="1" w:tplc="3054581A" w:tentative="1">
      <w:start w:val="1"/>
      <w:numFmt w:val="bullet"/>
      <w:lvlText w:val="•"/>
      <w:lvlJc w:val="left"/>
      <w:pPr>
        <w:tabs>
          <w:tab w:val="num" w:pos="1440"/>
        </w:tabs>
        <w:ind w:left="1440" w:hanging="360"/>
      </w:pPr>
      <w:rPr>
        <w:rFonts w:ascii="Arial" w:hAnsi="Arial" w:hint="default"/>
      </w:rPr>
    </w:lvl>
    <w:lvl w:ilvl="2" w:tplc="75C8F112" w:tentative="1">
      <w:start w:val="1"/>
      <w:numFmt w:val="bullet"/>
      <w:lvlText w:val="•"/>
      <w:lvlJc w:val="left"/>
      <w:pPr>
        <w:tabs>
          <w:tab w:val="num" w:pos="2160"/>
        </w:tabs>
        <w:ind w:left="2160" w:hanging="360"/>
      </w:pPr>
      <w:rPr>
        <w:rFonts w:ascii="Arial" w:hAnsi="Arial" w:hint="default"/>
      </w:rPr>
    </w:lvl>
    <w:lvl w:ilvl="3" w:tplc="F0A481D8" w:tentative="1">
      <w:start w:val="1"/>
      <w:numFmt w:val="bullet"/>
      <w:lvlText w:val="•"/>
      <w:lvlJc w:val="left"/>
      <w:pPr>
        <w:tabs>
          <w:tab w:val="num" w:pos="2880"/>
        </w:tabs>
        <w:ind w:left="2880" w:hanging="360"/>
      </w:pPr>
      <w:rPr>
        <w:rFonts w:ascii="Arial" w:hAnsi="Arial" w:hint="default"/>
      </w:rPr>
    </w:lvl>
    <w:lvl w:ilvl="4" w:tplc="D97A98B8" w:tentative="1">
      <w:start w:val="1"/>
      <w:numFmt w:val="bullet"/>
      <w:lvlText w:val="•"/>
      <w:lvlJc w:val="left"/>
      <w:pPr>
        <w:tabs>
          <w:tab w:val="num" w:pos="3600"/>
        </w:tabs>
        <w:ind w:left="3600" w:hanging="360"/>
      </w:pPr>
      <w:rPr>
        <w:rFonts w:ascii="Arial" w:hAnsi="Arial" w:hint="default"/>
      </w:rPr>
    </w:lvl>
    <w:lvl w:ilvl="5" w:tplc="3F90E700" w:tentative="1">
      <w:start w:val="1"/>
      <w:numFmt w:val="bullet"/>
      <w:lvlText w:val="•"/>
      <w:lvlJc w:val="left"/>
      <w:pPr>
        <w:tabs>
          <w:tab w:val="num" w:pos="4320"/>
        </w:tabs>
        <w:ind w:left="4320" w:hanging="360"/>
      </w:pPr>
      <w:rPr>
        <w:rFonts w:ascii="Arial" w:hAnsi="Arial" w:hint="default"/>
      </w:rPr>
    </w:lvl>
    <w:lvl w:ilvl="6" w:tplc="A4A8547E" w:tentative="1">
      <w:start w:val="1"/>
      <w:numFmt w:val="bullet"/>
      <w:lvlText w:val="•"/>
      <w:lvlJc w:val="left"/>
      <w:pPr>
        <w:tabs>
          <w:tab w:val="num" w:pos="5040"/>
        </w:tabs>
        <w:ind w:left="5040" w:hanging="360"/>
      </w:pPr>
      <w:rPr>
        <w:rFonts w:ascii="Arial" w:hAnsi="Arial" w:hint="default"/>
      </w:rPr>
    </w:lvl>
    <w:lvl w:ilvl="7" w:tplc="C08688EC" w:tentative="1">
      <w:start w:val="1"/>
      <w:numFmt w:val="bullet"/>
      <w:lvlText w:val="•"/>
      <w:lvlJc w:val="left"/>
      <w:pPr>
        <w:tabs>
          <w:tab w:val="num" w:pos="5760"/>
        </w:tabs>
        <w:ind w:left="5760" w:hanging="360"/>
      </w:pPr>
      <w:rPr>
        <w:rFonts w:ascii="Arial" w:hAnsi="Arial" w:hint="default"/>
      </w:rPr>
    </w:lvl>
    <w:lvl w:ilvl="8" w:tplc="5C34A86A" w:tentative="1">
      <w:start w:val="1"/>
      <w:numFmt w:val="bullet"/>
      <w:lvlText w:val="•"/>
      <w:lvlJc w:val="left"/>
      <w:pPr>
        <w:tabs>
          <w:tab w:val="num" w:pos="6480"/>
        </w:tabs>
        <w:ind w:left="6480" w:hanging="360"/>
      </w:pPr>
      <w:rPr>
        <w:rFonts w:ascii="Arial" w:hAnsi="Arial" w:hint="default"/>
      </w:rPr>
    </w:lvl>
  </w:abstractNum>
  <w:abstractNum w:abstractNumId="133" w15:restartNumberingAfterBreak="0">
    <w:nsid w:val="59A96267"/>
    <w:multiLevelType w:val="multilevel"/>
    <w:tmpl w:val="971A3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A6B7D63"/>
    <w:multiLevelType w:val="multilevel"/>
    <w:tmpl w:val="12F6C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B214B4B"/>
    <w:multiLevelType w:val="hybridMultilevel"/>
    <w:tmpl w:val="5DF4E0D4"/>
    <w:lvl w:ilvl="0" w:tplc="E5987C5C">
      <w:start w:val="1"/>
      <w:numFmt w:val="bullet"/>
      <w:lvlText w:val="§"/>
      <w:lvlJc w:val="left"/>
      <w:pPr>
        <w:tabs>
          <w:tab w:val="num" w:pos="720"/>
        </w:tabs>
        <w:ind w:left="720" w:hanging="360"/>
      </w:pPr>
      <w:rPr>
        <w:rFonts w:ascii="Wingdings" w:hAnsi="Wingdings" w:hint="default"/>
      </w:rPr>
    </w:lvl>
    <w:lvl w:ilvl="1" w:tplc="725EE2EC" w:tentative="1">
      <w:start w:val="1"/>
      <w:numFmt w:val="bullet"/>
      <w:lvlText w:val="§"/>
      <w:lvlJc w:val="left"/>
      <w:pPr>
        <w:tabs>
          <w:tab w:val="num" w:pos="1440"/>
        </w:tabs>
        <w:ind w:left="1440" w:hanging="360"/>
      </w:pPr>
      <w:rPr>
        <w:rFonts w:ascii="Wingdings" w:hAnsi="Wingdings" w:hint="default"/>
      </w:rPr>
    </w:lvl>
    <w:lvl w:ilvl="2" w:tplc="15D4BB5A" w:tentative="1">
      <w:start w:val="1"/>
      <w:numFmt w:val="bullet"/>
      <w:lvlText w:val="§"/>
      <w:lvlJc w:val="left"/>
      <w:pPr>
        <w:tabs>
          <w:tab w:val="num" w:pos="2160"/>
        </w:tabs>
        <w:ind w:left="2160" w:hanging="360"/>
      </w:pPr>
      <w:rPr>
        <w:rFonts w:ascii="Wingdings" w:hAnsi="Wingdings" w:hint="default"/>
      </w:rPr>
    </w:lvl>
    <w:lvl w:ilvl="3" w:tplc="2334C538" w:tentative="1">
      <w:start w:val="1"/>
      <w:numFmt w:val="bullet"/>
      <w:lvlText w:val="§"/>
      <w:lvlJc w:val="left"/>
      <w:pPr>
        <w:tabs>
          <w:tab w:val="num" w:pos="2880"/>
        </w:tabs>
        <w:ind w:left="2880" w:hanging="360"/>
      </w:pPr>
      <w:rPr>
        <w:rFonts w:ascii="Wingdings" w:hAnsi="Wingdings" w:hint="default"/>
      </w:rPr>
    </w:lvl>
    <w:lvl w:ilvl="4" w:tplc="A2A41C3A" w:tentative="1">
      <w:start w:val="1"/>
      <w:numFmt w:val="bullet"/>
      <w:lvlText w:val="§"/>
      <w:lvlJc w:val="left"/>
      <w:pPr>
        <w:tabs>
          <w:tab w:val="num" w:pos="3600"/>
        </w:tabs>
        <w:ind w:left="3600" w:hanging="360"/>
      </w:pPr>
      <w:rPr>
        <w:rFonts w:ascii="Wingdings" w:hAnsi="Wingdings" w:hint="default"/>
      </w:rPr>
    </w:lvl>
    <w:lvl w:ilvl="5" w:tplc="4DE6DB20" w:tentative="1">
      <w:start w:val="1"/>
      <w:numFmt w:val="bullet"/>
      <w:lvlText w:val="§"/>
      <w:lvlJc w:val="left"/>
      <w:pPr>
        <w:tabs>
          <w:tab w:val="num" w:pos="4320"/>
        </w:tabs>
        <w:ind w:left="4320" w:hanging="360"/>
      </w:pPr>
      <w:rPr>
        <w:rFonts w:ascii="Wingdings" w:hAnsi="Wingdings" w:hint="default"/>
      </w:rPr>
    </w:lvl>
    <w:lvl w:ilvl="6" w:tplc="F0AA7328" w:tentative="1">
      <w:start w:val="1"/>
      <w:numFmt w:val="bullet"/>
      <w:lvlText w:val="§"/>
      <w:lvlJc w:val="left"/>
      <w:pPr>
        <w:tabs>
          <w:tab w:val="num" w:pos="5040"/>
        </w:tabs>
        <w:ind w:left="5040" w:hanging="360"/>
      </w:pPr>
      <w:rPr>
        <w:rFonts w:ascii="Wingdings" w:hAnsi="Wingdings" w:hint="default"/>
      </w:rPr>
    </w:lvl>
    <w:lvl w:ilvl="7" w:tplc="44A61B56" w:tentative="1">
      <w:start w:val="1"/>
      <w:numFmt w:val="bullet"/>
      <w:lvlText w:val="§"/>
      <w:lvlJc w:val="left"/>
      <w:pPr>
        <w:tabs>
          <w:tab w:val="num" w:pos="5760"/>
        </w:tabs>
        <w:ind w:left="5760" w:hanging="360"/>
      </w:pPr>
      <w:rPr>
        <w:rFonts w:ascii="Wingdings" w:hAnsi="Wingdings" w:hint="default"/>
      </w:rPr>
    </w:lvl>
    <w:lvl w:ilvl="8" w:tplc="F3140EF4" w:tentative="1">
      <w:start w:val="1"/>
      <w:numFmt w:val="bullet"/>
      <w:lvlText w:val="§"/>
      <w:lvlJc w:val="left"/>
      <w:pPr>
        <w:tabs>
          <w:tab w:val="num" w:pos="6480"/>
        </w:tabs>
        <w:ind w:left="6480" w:hanging="360"/>
      </w:pPr>
      <w:rPr>
        <w:rFonts w:ascii="Wingdings" w:hAnsi="Wingdings" w:hint="default"/>
      </w:rPr>
    </w:lvl>
  </w:abstractNum>
  <w:abstractNum w:abstractNumId="136" w15:restartNumberingAfterBreak="0">
    <w:nsid w:val="5B3F5A8C"/>
    <w:multiLevelType w:val="multilevel"/>
    <w:tmpl w:val="EC52C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5BF3365F"/>
    <w:multiLevelType w:val="multilevel"/>
    <w:tmpl w:val="6ACC77E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Calibri" w:eastAsiaTheme="minorHAnsi"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5C2B24E1"/>
    <w:multiLevelType w:val="multilevel"/>
    <w:tmpl w:val="08F05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5CFD1885"/>
    <w:multiLevelType w:val="multilevel"/>
    <w:tmpl w:val="EED4D3B6"/>
    <w:lvl w:ilvl="0">
      <w:start w:val="1"/>
      <w:numFmt w:val="bullet"/>
      <w:lvlText w:val=""/>
      <w:lvlJc w:val="left"/>
      <w:pPr>
        <w:ind w:left="502"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D0551A1"/>
    <w:multiLevelType w:val="hybridMultilevel"/>
    <w:tmpl w:val="C1EE4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5DB246A6"/>
    <w:multiLevelType w:val="hybridMultilevel"/>
    <w:tmpl w:val="3B8E0FE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61A37D09"/>
    <w:multiLevelType w:val="multilevel"/>
    <w:tmpl w:val="0EC885D6"/>
    <w:lvl w:ilvl="0">
      <w:numFmt w:val="bullet"/>
      <w:lvlText w:val=""/>
      <w:lvlJc w:val="left"/>
      <w:pPr>
        <w:ind w:left="502" w:hanging="360"/>
      </w:pPr>
      <w:rPr>
        <w:rFonts w:ascii="Symbol" w:eastAsia="Times New Roman"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61E029BF"/>
    <w:multiLevelType w:val="multilevel"/>
    <w:tmpl w:val="77324DC6"/>
    <w:lvl w:ilvl="0">
      <w:start w:val="1"/>
      <w:numFmt w:val="decimal"/>
      <w:lvlText w:val="%1."/>
      <w:lvlJc w:val="left"/>
      <w:pPr>
        <w:ind w:left="502" w:hanging="360"/>
      </w:pPr>
    </w:lvl>
    <w:lvl w:ilvl="1">
      <w:start w:val="1"/>
      <w:numFmt w:val="decimal"/>
      <w:lvlText w:val="%2."/>
      <w:lvlJc w:val="left"/>
      <w:pPr>
        <w:ind w:left="1222" w:hanging="360"/>
      </w:pPr>
    </w:lvl>
    <w:lvl w:ilvl="2">
      <w:start w:val="1"/>
      <w:numFmt w:val="decimal"/>
      <w:lvlText w:val="%3."/>
      <w:lvlJc w:val="left"/>
      <w:pPr>
        <w:ind w:left="1942" w:hanging="360"/>
      </w:pPr>
    </w:lvl>
    <w:lvl w:ilvl="3">
      <w:start w:val="1"/>
      <w:numFmt w:val="decimal"/>
      <w:lvlText w:val="%4."/>
      <w:lvlJc w:val="left"/>
      <w:pPr>
        <w:ind w:left="2662" w:hanging="360"/>
      </w:pPr>
    </w:lvl>
    <w:lvl w:ilvl="4">
      <w:start w:val="1"/>
      <w:numFmt w:val="decimal"/>
      <w:lvlText w:val="%5."/>
      <w:lvlJc w:val="left"/>
      <w:pPr>
        <w:ind w:left="3382" w:hanging="360"/>
      </w:pPr>
    </w:lvl>
    <w:lvl w:ilvl="5">
      <w:start w:val="1"/>
      <w:numFmt w:val="decimal"/>
      <w:lvlText w:val="%6."/>
      <w:lvlJc w:val="left"/>
      <w:pPr>
        <w:ind w:left="4102" w:hanging="360"/>
      </w:pPr>
    </w:lvl>
    <w:lvl w:ilvl="6">
      <w:start w:val="1"/>
      <w:numFmt w:val="decimal"/>
      <w:lvlText w:val="%7."/>
      <w:lvlJc w:val="left"/>
      <w:pPr>
        <w:ind w:left="4822" w:hanging="360"/>
      </w:pPr>
    </w:lvl>
    <w:lvl w:ilvl="7">
      <w:start w:val="1"/>
      <w:numFmt w:val="decimal"/>
      <w:lvlText w:val="%8."/>
      <w:lvlJc w:val="left"/>
      <w:pPr>
        <w:ind w:left="5542" w:hanging="360"/>
      </w:pPr>
    </w:lvl>
    <w:lvl w:ilvl="8">
      <w:start w:val="1"/>
      <w:numFmt w:val="decimal"/>
      <w:lvlText w:val="%9."/>
      <w:lvlJc w:val="left"/>
      <w:pPr>
        <w:ind w:left="6262" w:hanging="360"/>
      </w:pPr>
    </w:lvl>
  </w:abstractNum>
  <w:abstractNum w:abstractNumId="144" w15:restartNumberingAfterBreak="0">
    <w:nsid w:val="62EE22A5"/>
    <w:multiLevelType w:val="hybridMultilevel"/>
    <w:tmpl w:val="13B6A0E6"/>
    <w:lvl w:ilvl="0" w:tplc="FFFFFFFF">
      <w:start w:val="1"/>
      <w:numFmt w:val="decimal"/>
      <w:lvlText w:val="%1."/>
      <w:lvlJc w:val="left"/>
      <w:pPr>
        <w:ind w:left="5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641D778D"/>
    <w:multiLevelType w:val="multilevel"/>
    <w:tmpl w:val="3D126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4501C7F"/>
    <w:multiLevelType w:val="multilevel"/>
    <w:tmpl w:val="FB5A5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5AE1769"/>
    <w:multiLevelType w:val="multilevel"/>
    <w:tmpl w:val="B71C1EE0"/>
    <w:lvl w:ilvl="0">
      <w:start w:val="1"/>
      <w:numFmt w:val="bullet"/>
      <w:lvlText w:val=""/>
      <w:lvlJc w:val="left"/>
      <w:pPr>
        <w:ind w:left="1210" w:hanging="360"/>
      </w:pPr>
      <w:rPr>
        <w:rFonts w:ascii="Wingdings" w:hAnsi="Wingdings" w:hint="default"/>
        <w:color w:val="auto"/>
        <w:sz w:val="20"/>
      </w:rPr>
    </w:lvl>
    <w:lvl w:ilvl="1" w:tentative="1">
      <w:start w:val="1"/>
      <w:numFmt w:val="bullet"/>
      <w:lvlText w:val="o"/>
      <w:lvlJc w:val="left"/>
      <w:pPr>
        <w:tabs>
          <w:tab w:val="num" w:pos="2148"/>
        </w:tabs>
        <w:ind w:left="2148" w:hanging="360"/>
      </w:pPr>
      <w:rPr>
        <w:rFonts w:ascii="Courier New" w:hAnsi="Courier New" w:hint="default"/>
        <w:sz w:val="20"/>
      </w:rPr>
    </w:lvl>
    <w:lvl w:ilvl="2" w:tentative="1">
      <w:start w:val="1"/>
      <w:numFmt w:val="bullet"/>
      <w:lvlText w:val=""/>
      <w:lvlJc w:val="left"/>
      <w:pPr>
        <w:tabs>
          <w:tab w:val="num" w:pos="2868"/>
        </w:tabs>
        <w:ind w:left="2868" w:hanging="360"/>
      </w:pPr>
      <w:rPr>
        <w:rFonts w:ascii="Wingdings" w:hAnsi="Wingdings" w:hint="default"/>
        <w:sz w:val="20"/>
      </w:rPr>
    </w:lvl>
    <w:lvl w:ilvl="3" w:tentative="1">
      <w:start w:val="1"/>
      <w:numFmt w:val="bullet"/>
      <w:lvlText w:val=""/>
      <w:lvlJc w:val="left"/>
      <w:pPr>
        <w:tabs>
          <w:tab w:val="num" w:pos="3588"/>
        </w:tabs>
        <w:ind w:left="3588" w:hanging="360"/>
      </w:pPr>
      <w:rPr>
        <w:rFonts w:ascii="Wingdings" w:hAnsi="Wingdings" w:hint="default"/>
        <w:sz w:val="20"/>
      </w:rPr>
    </w:lvl>
    <w:lvl w:ilvl="4" w:tentative="1">
      <w:start w:val="1"/>
      <w:numFmt w:val="bullet"/>
      <w:lvlText w:val=""/>
      <w:lvlJc w:val="left"/>
      <w:pPr>
        <w:tabs>
          <w:tab w:val="num" w:pos="4308"/>
        </w:tabs>
        <w:ind w:left="4308" w:hanging="360"/>
      </w:pPr>
      <w:rPr>
        <w:rFonts w:ascii="Wingdings" w:hAnsi="Wingdings" w:hint="default"/>
        <w:sz w:val="20"/>
      </w:rPr>
    </w:lvl>
    <w:lvl w:ilvl="5" w:tentative="1">
      <w:start w:val="1"/>
      <w:numFmt w:val="bullet"/>
      <w:lvlText w:val=""/>
      <w:lvlJc w:val="left"/>
      <w:pPr>
        <w:tabs>
          <w:tab w:val="num" w:pos="5028"/>
        </w:tabs>
        <w:ind w:left="5028" w:hanging="360"/>
      </w:pPr>
      <w:rPr>
        <w:rFonts w:ascii="Wingdings" w:hAnsi="Wingdings" w:hint="default"/>
        <w:sz w:val="20"/>
      </w:rPr>
    </w:lvl>
    <w:lvl w:ilvl="6" w:tentative="1">
      <w:start w:val="1"/>
      <w:numFmt w:val="bullet"/>
      <w:lvlText w:val=""/>
      <w:lvlJc w:val="left"/>
      <w:pPr>
        <w:tabs>
          <w:tab w:val="num" w:pos="5748"/>
        </w:tabs>
        <w:ind w:left="5748" w:hanging="360"/>
      </w:pPr>
      <w:rPr>
        <w:rFonts w:ascii="Wingdings" w:hAnsi="Wingdings" w:hint="default"/>
        <w:sz w:val="20"/>
      </w:rPr>
    </w:lvl>
    <w:lvl w:ilvl="7" w:tentative="1">
      <w:start w:val="1"/>
      <w:numFmt w:val="bullet"/>
      <w:lvlText w:val=""/>
      <w:lvlJc w:val="left"/>
      <w:pPr>
        <w:tabs>
          <w:tab w:val="num" w:pos="6468"/>
        </w:tabs>
        <w:ind w:left="6468" w:hanging="360"/>
      </w:pPr>
      <w:rPr>
        <w:rFonts w:ascii="Wingdings" w:hAnsi="Wingdings" w:hint="default"/>
        <w:sz w:val="20"/>
      </w:rPr>
    </w:lvl>
    <w:lvl w:ilvl="8" w:tentative="1">
      <w:start w:val="1"/>
      <w:numFmt w:val="bullet"/>
      <w:lvlText w:val=""/>
      <w:lvlJc w:val="left"/>
      <w:pPr>
        <w:tabs>
          <w:tab w:val="num" w:pos="7188"/>
        </w:tabs>
        <w:ind w:left="7188" w:hanging="360"/>
      </w:pPr>
      <w:rPr>
        <w:rFonts w:ascii="Wingdings" w:hAnsi="Wingdings" w:hint="default"/>
        <w:sz w:val="20"/>
      </w:rPr>
    </w:lvl>
  </w:abstractNum>
  <w:abstractNum w:abstractNumId="148" w15:restartNumberingAfterBreak="0">
    <w:nsid w:val="66547DE9"/>
    <w:multiLevelType w:val="hybridMultilevel"/>
    <w:tmpl w:val="46C2DB92"/>
    <w:lvl w:ilvl="0" w:tplc="3D9ACC8E">
      <w:numFmt w:val="bullet"/>
      <w:lvlText w:val="•"/>
      <w:lvlJc w:val="left"/>
      <w:pPr>
        <w:ind w:left="1080" w:hanging="720"/>
      </w:pPr>
      <w:rPr>
        <w:rFonts w:ascii="Calibri Light" w:eastAsia="SimSu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667C5FBC"/>
    <w:multiLevelType w:val="hybridMultilevel"/>
    <w:tmpl w:val="A19C85B4"/>
    <w:lvl w:ilvl="0" w:tplc="07FEED4C">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50" w15:restartNumberingAfterBreak="0">
    <w:nsid w:val="66D30569"/>
    <w:multiLevelType w:val="multilevel"/>
    <w:tmpl w:val="67B85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7696423"/>
    <w:multiLevelType w:val="multilevel"/>
    <w:tmpl w:val="E2A0C8D6"/>
    <w:lvl w:ilvl="0">
      <w:start w:val="1"/>
      <w:numFmt w:val="decimal"/>
      <w:lvlText w:val="%1."/>
      <w:lvlJc w:val="left"/>
      <w:pPr>
        <w:tabs>
          <w:tab w:val="num" w:pos="720"/>
        </w:tabs>
        <w:ind w:left="720" w:hanging="360"/>
      </w:pPr>
    </w:lvl>
    <w:lvl w:ilvl="1">
      <w:start w:val="1"/>
      <w:numFmt w:val="bullet"/>
      <w:lvlText w:val="o"/>
      <w:lvlJc w:val="left"/>
      <w:pPr>
        <w:tabs>
          <w:tab w:val="num" w:pos="1069"/>
        </w:tabs>
        <w:ind w:left="1069"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67A74390"/>
    <w:multiLevelType w:val="multilevel"/>
    <w:tmpl w:val="3D5C5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67CC51DB"/>
    <w:multiLevelType w:val="multilevel"/>
    <w:tmpl w:val="430EDBA4"/>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Calibri" w:eastAsiaTheme="minorHAnsi" w:hAnsi="Calibri" w:cs="Calibri"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4" w15:restartNumberingAfterBreak="0">
    <w:nsid w:val="69BA5F21"/>
    <w:multiLevelType w:val="multilevel"/>
    <w:tmpl w:val="AAF2B2D2"/>
    <w:lvl w:ilvl="0">
      <w:start w:val="1"/>
      <w:numFmt w:val="bullet"/>
      <w:lvlText w:val=""/>
      <w:lvlJc w:val="left"/>
      <w:pPr>
        <w:ind w:left="502" w:hanging="360"/>
      </w:pPr>
      <w:rPr>
        <w:rFonts w:ascii="Wingdings" w:hAnsi="Wingdings" w:hint="default"/>
        <w:b w:val="0"/>
        <w:bCs w:val="0"/>
        <w:i w:val="0"/>
        <w:iCs w:val="0"/>
        <w:caps w:val="0"/>
        <w:smallCaps w:val="0"/>
        <w:strike w:val="0"/>
        <w:dstrike w:val="0"/>
        <w:color w:val="1896A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ind w:left="1222" w:hanging="360"/>
      </w:pPr>
    </w:lvl>
    <w:lvl w:ilvl="2">
      <w:start w:val="1"/>
      <w:numFmt w:val="decimal"/>
      <w:lvlText w:val="%3."/>
      <w:lvlJc w:val="left"/>
      <w:pPr>
        <w:ind w:left="1942" w:hanging="360"/>
      </w:pPr>
    </w:lvl>
    <w:lvl w:ilvl="3">
      <w:start w:val="1"/>
      <w:numFmt w:val="decimal"/>
      <w:lvlText w:val="%4."/>
      <w:lvlJc w:val="left"/>
      <w:pPr>
        <w:ind w:left="2662" w:hanging="360"/>
      </w:pPr>
    </w:lvl>
    <w:lvl w:ilvl="4">
      <w:start w:val="1"/>
      <w:numFmt w:val="decimal"/>
      <w:lvlText w:val="%5."/>
      <w:lvlJc w:val="left"/>
      <w:pPr>
        <w:ind w:left="3382" w:hanging="360"/>
      </w:pPr>
    </w:lvl>
    <w:lvl w:ilvl="5">
      <w:start w:val="1"/>
      <w:numFmt w:val="decimal"/>
      <w:lvlText w:val="%6."/>
      <w:lvlJc w:val="left"/>
      <w:pPr>
        <w:ind w:left="4102" w:hanging="360"/>
      </w:pPr>
    </w:lvl>
    <w:lvl w:ilvl="6">
      <w:start w:val="1"/>
      <w:numFmt w:val="decimal"/>
      <w:lvlText w:val="%7."/>
      <w:lvlJc w:val="left"/>
      <w:pPr>
        <w:ind w:left="4822" w:hanging="360"/>
      </w:pPr>
    </w:lvl>
    <w:lvl w:ilvl="7">
      <w:start w:val="1"/>
      <w:numFmt w:val="decimal"/>
      <w:lvlText w:val="%8."/>
      <w:lvlJc w:val="left"/>
      <w:pPr>
        <w:ind w:left="5542" w:hanging="360"/>
      </w:pPr>
    </w:lvl>
    <w:lvl w:ilvl="8">
      <w:start w:val="1"/>
      <w:numFmt w:val="decimal"/>
      <w:lvlText w:val="%9."/>
      <w:lvlJc w:val="left"/>
      <w:pPr>
        <w:ind w:left="6262" w:hanging="360"/>
      </w:pPr>
    </w:lvl>
  </w:abstractNum>
  <w:abstractNum w:abstractNumId="155" w15:restartNumberingAfterBreak="0">
    <w:nsid w:val="6A5342D6"/>
    <w:multiLevelType w:val="multilevel"/>
    <w:tmpl w:val="8118077A"/>
    <w:lvl w:ilvl="0">
      <w:start w:val="1"/>
      <w:numFmt w:val="bullet"/>
      <w:lvlText w:val=""/>
      <w:lvlJc w:val="left"/>
      <w:pPr>
        <w:ind w:left="502"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6AAE5D78"/>
    <w:multiLevelType w:val="hybridMultilevel"/>
    <w:tmpl w:val="96BE7D0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7" w15:restartNumberingAfterBreak="0">
    <w:nsid w:val="6B09129F"/>
    <w:multiLevelType w:val="hybridMultilevel"/>
    <w:tmpl w:val="2DB835A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6CFA038E"/>
    <w:multiLevelType w:val="hybridMultilevel"/>
    <w:tmpl w:val="A11C3D5C"/>
    <w:lvl w:ilvl="0" w:tplc="07FEED4C">
      <w:start w:val="1"/>
      <w:numFmt w:val="bullet"/>
      <w:lvlText w:val="-"/>
      <w:lvlJc w:val="left"/>
      <w:pPr>
        <w:ind w:left="720" w:hanging="360"/>
      </w:pPr>
      <w:rPr>
        <w:rFonts w:ascii="Calibri" w:eastAsiaTheme="minorHAnsi" w:hAnsi="Calibri" w:cs="Calibri"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59" w15:restartNumberingAfterBreak="0">
    <w:nsid w:val="6D621518"/>
    <w:multiLevelType w:val="multilevel"/>
    <w:tmpl w:val="CB6C61EE"/>
    <w:lvl w:ilvl="0">
      <w:start w:val="1"/>
      <w:numFmt w:val="decimal"/>
      <w:lvlText w:val="%1."/>
      <w:lvlJc w:val="left"/>
      <w:pPr>
        <w:tabs>
          <w:tab w:val="num" w:pos="360"/>
        </w:tabs>
        <w:ind w:left="360" w:hanging="360"/>
      </w:pPr>
    </w:lvl>
    <w:lvl w:ilvl="1">
      <w:start w:val="1"/>
      <w:numFmt w:val="bullet"/>
      <w:lvlText w:val="o"/>
      <w:lvlJc w:val="left"/>
      <w:pPr>
        <w:tabs>
          <w:tab w:val="num" w:pos="540"/>
        </w:tabs>
        <w:ind w:left="54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0" w15:restartNumberingAfterBreak="0">
    <w:nsid w:val="6D9E27FA"/>
    <w:multiLevelType w:val="multilevel"/>
    <w:tmpl w:val="936E91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785"/>
        </w:tabs>
        <w:ind w:left="785"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6DD26178"/>
    <w:multiLevelType w:val="multilevel"/>
    <w:tmpl w:val="270C7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6F12624E"/>
    <w:multiLevelType w:val="hybridMultilevel"/>
    <w:tmpl w:val="330A5776"/>
    <w:lvl w:ilvl="0" w:tplc="0409000F">
      <w:start w:val="1"/>
      <w:numFmt w:val="decimal"/>
      <w:lvlText w:val="%1."/>
      <w:lvlJc w:val="left"/>
      <w:pPr>
        <w:ind w:left="501" w:hanging="360"/>
      </w:p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63" w15:restartNumberingAfterBreak="0">
    <w:nsid w:val="6F3336C2"/>
    <w:multiLevelType w:val="multilevel"/>
    <w:tmpl w:val="EE90BB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785"/>
        </w:tabs>
        <w:ind w:left="785"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6F636EBC"/>
    <w:multiLevelType w:val="multilevel"/>
    <w:tmpl w:val="DD989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70DC680D"/>
    <w:multiLevelType w:val="multilevel"/>
    <w:tmpl w:val="276A6C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28104FD"/>
    <w:multiLevelType w:val="multilevel"/>
    <w:tmpl w:val="3D928412"/>
    <w:lvl w:ilvl="0">
      <w:start w:val="1"/>
      <w:numFmt w:val="bullet"/>
      <w:lvlText w:val="-"/>
      <w:lvlJc w:val="left"/>
      <w:pPr>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72877203"/>
    <w:multiLevelType w:val="hybridMultilevel"/>
    <w:tmpl w:val="93627A42"/>
    <w:lvl w:ilvl="0" w:tplc="04090009">
      <w:start w:val="1"/>
      <w:numFmt w:val="bullet"/>
      <w:lvlText w:val=""/>
      <w:lvlJc w:val="left"/>
      <w:pPr>
        <w:ind w:left="502" w:hanging="360"/>
      </w:pPr>
      <w:rPr>
        <w:rFonts w:ascii="Wingdings" w:hAnsi="Wingdings" w:hint="default"/>
        <w:color w:val="FFFFFF" w:themeColor="background1"/>
      </w:rPr>
    </w:lvl>
    <w:lvl w:ilvl="1" w:tplc="FFFFFFFF" w:tentative="1">
      <w:start w:val="1"/>
      <w:numFmt w:val="bullet"/>
      <w:lvlText w:val="o"/>
      <w:lvlJc w:val="left"/>
      <w:pPr>
        <w:ind w:left="1350" w:hanging="360"/>
      </w:pPr>
      <w:rPr>
        <w:rFonts w:ascii="Courier New" w:hAnsi="Courier New" w:hint="default"/>
      </w:rPr>
    </w:lvl>
    <w:lvl w:ilvl="2" w:tplc="FFFFFFFF" w:tentative="1">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168" w15:restartNumberingAfterBreak="0">
    <w:nsid w:val="74B477A0"/>
    <w:multiLevelType w:val="hybridMultilevel"/>
    <w:tmpl w:val="ACA81496"/>
    <w:lvl w:ilvl="0" w:tplc="55F2BA6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15:restartNumberingAfterBreak="0">
    <w:nsid w:val="755209D9"/>
    <w:multiLevelType w:val="hybridMultilevel"/>
    <w:tmpl w:val="0254BD3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0" w15:restartNumberingAfterBreak="0">
    <w:nsid w:val="773A355C"/>
    <w:multiLevelType w:val="multilevel"/>
    <w:tmpl w:val="B130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78200A0"/>
    <w:multiLevelType w:val="multilevel"/>
    <w:tmpl w:val="59C08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77AB1EDE"/>
    <w:multiLevelType w:val="multilevel"/>
    <w:tmpl w:val="D16A6E9E"/>
    <w:lvl w:ilvl="0">
      <w:start w:val="1"/>
      <w:numFmt w:val="decimal"/>
      <w:lvlText w:val="%1."/>
      <w:lvlJc w:val="left"/>
      <w:pPr>
        <w:ind w:left="720" w:hanging="360"/>
      </w:pPr>
    </w:lvl>
    <w:lvl w:ilvl="1">
      <w:numFmt w:val="bullet"/>
      <w:lvlText w:val="●"/>
      <w:lvlJc w:val="left"/>
      <w:pPr>
        <w:ind w:left="360" w:hanging="360"/>
      </w:pPr>
      <w:rPr>
        <w:rFonts w:ascii="Noto Sans Symbols" w:eastAsia="Noto Sans Symbols" w:hAnsi="Noto Sans Symbols" w:cs="Noto Sans Symbols"/>
        <w:color w:val="00000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3" w15:restartNumberingAfterBreak="0">
    <w:nsid w:val="77D876E4"/>
    <w:multiLevelType w:val="multilevel"/>
    <w:tmpl w:val="94947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81E7865"/>
    <w:multiLevelType w:val="hybridMultilevel"/>
    <w:tmpl w:val="0E4A9FA8"/>
    <w:lvl w:ilvl="0" w:tplc="7968F380">
      <w:start w:val="1"/>
      <w:numFmt w:val="bullet"/>
      <w:lvlText w:val="•"/>
      <w:lvlJc w:val="left"/>
      <w:pPr>
        <w:tabs>
          <w:tab w:val="num" w:pos="720"/>
        </w:tabs>
        <w:ind w:left="720" w:hanging="360"/>
      </w:pPr>
      <w:rPr>
        <w:rFonts w:ascii="Arial" w:hAnsi="Arial" w:hint="default"/>
      </w:rPr>
    </w:lvl>
    <w:lvl w:ilvl="1" w:tplc="2F2C1536" w:tentative="1">
      <w:start w:val="1"/>
      <w:numFmt w:val="bullet"/>
      <w:lvlText w:val="•"/>
      <w:lvlJc w:val="left"/>
      <w:pPr>
        <w:tabs>
          <w:tab w:val="num" w:pos="1440"/>
        </w:tabs>
        <w:ind w:left="1440" w:hanging="360"/>
      </w:pPr>
      <w:rPr>
        <w:rFonts w:ascii="Arial" w:hAnsi="Arial" w:hint="default"/>
      </w:rPr>
    </w:lvl>
    <w:lvl w:ilvl="2" w:tplc="07E42214" w:tentative="1">
      <w:start w:val="1"/>
      <w:numFmt w:val="bullet"/>
      <w:lvlText w:val="•"/>
      <w:lvlJc w:val="left"/>
      <w:pPr>
        <w:tabs>
          <w:tab w:val="num" w:pos="2160"/>
        </w:tabs>
        <w:ind w:left="2160" w:hanging="360"/>
      </w:pPr>
      <w:rPr>
        <w:rFonts w:ascii="Arial" w:hAnsi="Arial" w:hint="default"/>
      </w:rPr>
    </w:lvl>
    <w:lvl w:ilvl="3" w:tplc="AB323BD8" w:tentative="1">
      <w:start w:val="1"/>
      <w:numFmt w:val="bullet"/>
      <w:lvlText w:val="•"/>
      <w:lvlJc w:val="left"/>
      <w:pPr>
        <w:tabs>
          <w:tab w:val="num" w:pos="2880"/>
        </w:tabs>
        <w:ind w:left="2880" w:hanging="360"/>
      </w:pPr>
      <w:rPr>
        <w:rFonts w:ascii="Arial" w:hAnsi="Arial" w:hint="default"/>
      </w:rPr>
    </w:lvl>
    <w:lvl w:ilvl="4" w:tplc="5B064F82" w:tentative="1">
      <w:start w:val="1"/>
      <w:numFmt w:val="bullet"/>
      <w:lvlText w:val="•"/>
      <w:lvlJc w:val="left"/>
      <w:pPr>
        <w:tabs>
          <w:tab w:val="num" w:pos="3600"/>
        </w:tabs>
        <w:ind w:left="3600" w:hanging="360"/>
      </w:pPr>
      <w:rPr>
        <w:rFonts w:ascii="Arial" w:hAnsi="Arial" w:hint="default"/>
      </w:rPr>
    </w:lvl>
    <w:lvl w:ilvl="5" w:tplc="94C24C7C" w:tentative="1">
      <w:start w:val="1"/>
      <w:numFmt w:val="bullet"/>
      <w:lvlText w:val="•"/>
      <w:lvlJc w:val="left"/>
      <w:pPr>
        <w:tabs>
          <w:tab w:val="num" w:pos="4320"/>
        </w:tabs>
        <w:ind w:left="4320" w:hanging="360"/>
      </w:pPr>
      <w:rPr>
        <w:rFonts w:ascii="Arial" w:hAnsi="Arial" w:hint="default"/>
      </w:rPr>
    </w:lvl>
    <w:lvl w:ilvl="6" w:tplc="BBEE478A" w:tentative="1">
      <w:start w:val="1"/>
      <w:numFmt w:val="bullet"/>
      <w:lvlText w:val="•"/>
      <w:lvlJc w:val="left"/>
      <w:pPr>
        <w:tabs>
          <w:tab w:val="num" w:pos="5040"/>
        </w:tabs>
        <w:ind w:left="5040" w:hanging="360"/>
      </w:pPr>
      <w:rPr>
        <w:rFonts w:ascii="Arial" w:hAnsi="Arial" w:hint="default"/>
      </w:rPr>
    </w:lvl>
    <w:lvl w:ilvl="7" w:tplc="D87A826C" w:tentative="1">
      <w:start w:val="1"/>
      <w:numFmt w:val="bullet"/>
      <w:lvlText w:val="•"/>
      <w:lvlJc w:val="left"/>
      <w:pPr>
        <w:tabs>
          <w:tab w:val="num" w:pos="5760"/>
        </w:tabs>
        <w:ind w:left="5760" w:hanging="360"/>
      </w:pPr>
      <w:rPr>
        <w:rFonts w:ascii="Arial" w:hAnsi="Arial" w:hint="default"/>
      </w:rPr>
    </w:lvl>
    <w:lvl w:ilvl="8" w:tplc="DD687ECE" w:tentative="1">
      <w:start w:val="1"/>
      <w:numFmt w:val="bullet"/>
      <w:lvlText w:val="•"/>
      <w:lvlJc w:val="left"/>
      <w:pPr>
        <w:tabs>
          <w:tab w:val="num" w:pos="6480"/>
        </w:tabs>
        <w:ind w:left="6480" w:hanging="360"/>
      </w:pPr>
      <w:rPr>
        <w:rFonts w:ascii="Arial" w:hAnsi="Arial" w:hint="default"/>
      </w:rPr>
    </w:lvl>
  </w:abstractNum>
  <w:abstractNum w:abstractNumId="175" w15:restartNumberingAfterBreak="0">
    <w:nsid w:val="79433F40"/>
    <w:multiLevelType w:val="multilevel"/>
    <w:tmpl w:val="A02EA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79783578"/>
    <w:multiLevelType w:val="hybridMultilevel"/>
    <w:tmpl w:val="F9B89A8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15:restartNumberingAfterBreak="0">
    <w:nsid w:val="7A310743"/>
    <w:multiLevelType w:val="multilevel"/>
    <w:tmpl w:val="AD38D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7ABD777C"/>
    <w:multiLevelType w:val="multilevel"/>
    <w:tmpl w:val="3744BB6E"/>
    <w:lvl w:ilvl="0">
      <w:start w:val="1"/>
      <w:numFmt w:val="decimal"/>
      <w:lvlText w:val="%1."/>
      <w:lvlJc w:val="left"/>
      <w:pPr>
        <w:tabs>
          <w:tab w:val="num" w:pos="720"/>
        </w:tabs>
        <w:ind w:left="720" w:hanging="360"/>
      </w:pPr>
    </w:lvl>
    <w:lvl w:ilvl="1">
      <w:start w:val="1"/>
      <w:numFmt w:val="bullet"/>
      <w:lvlText w:val="o"/>
      <w:lvlJc w:val="left"/>
      <w:pPr>
        <w:tabs>
          <w:tab w:val="num" w:pos="643"/>
        </w:tabs>
        <w:ind w:left="643"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7BA82AD9"/>
    <w:multiLevelType w:val="hybridMultilevel"/>
    <w:tmpl w:val="1E0286C8"/>
    <w:lvl w:ilvl="0" w:tplc="FFFFFFFF">
      <w:start w:val="1"/>
      <w:numFmt w:val="decimal"/>
      <w:lvlText w:val="%1."/>
      <w:lvlJc w:val="left"/>
      <w:pPr>
        <w:ind w:left="450" w:hanging="360"/>
      </w:pPr>
    </w:lvl>
    <w:lvl w:ilvl="1" w:tplc="FFFFFFFF">
      <w:start w:val="1"/>
      <w:numFmt w:val="decimal"/>
      <w:lvlText w:val="%2."/>
      <w:lvlJc w:val="left"/>
      <w:pPr>
        <w:ind w:left="990" w:hanging="360"/>
      </w:pPr>
    </w:lvl>
    <w:lvl w:ilvl="2" w:tplc="FFFFFFFF" w:tentative="1">
      <w:start w:val="1"/>
      <w:numFmt w:val="lowerRoman"/>
      <w:lvlText w:val="%3."/>
      <w:lvlJc w:val="right"/>
      <w:pPr>
        <w:ind w:left="1710" w:hanging="180"/>
      </w:pPr>
    </w:lvl>
    <w:lvl w:ilvl="3" w:tplc="FFFFFFFF" w:tentative="1">
      <w:start w:val="1"/>
      <w:numFmt w:val="decimal"/>
      <w:lvlText w:val="%4."/>
      <w:lvlJc w:val="left"/>
      <w:pPr>
        <w:ind w:left="2430" w:hanging="360"/>
      </w:pPr>
    </w:lvl>
    <w:lvl w:ilvl="4" w:tplc="FFFFFFFF" w:tentative="1">
      <w:start w:val="1"/>
      <w:numFmt w:val="lowerLetter"/>
      <w:lvlText w:val="%5."/>
      <w:lvlJc w:val="left"/>
      <w:pPr>
        <w:ind w:left="3150" w:hanging="360"/>
      </w:pPr>
    </w:lvl>
    <w:lvl w:ilvl="5" w:tplc="FFFFFFFF" w:tentative="1">
      <w:start w:val="1"/>
      <w:numFmt w:val="lowerRoman"/>
      <w:lvlText w:val="%6."/>
      <w:lvlJc w:val="right"/>
      <w:pPr>
        <w:ind w:left="3870" w:hanging="180"/>
      </w:pPr>
    </w:lvl>
    <w:lvl w:ilvl="6" w:tplc="FFFFFFFF" w:tentative="1">
      <w:start w:val="1"/>
      <w:numFmt w:val="decimal"/>
      <w:lvlText w:val="%7."/>
      <w:lvlJc w:val="left"/>
      <w:pPr>
        <w:ind w:left="4590" w:hanging="360"/>
      </w:pPr>
    </w:lvl>
    <w:lvl w:ilvl="7" w:tplc="FFFFFFFF" w:tentative="1">
      <w:start w:val="1"/>
      <w:numFmt w:val="lowerLetter"/>
      <w:lvlText w:val="%8."/>
      <w:lvlJc w:val="left"/>
      <w:pPr>
        <w:ind w:left="5310" w:hanging="360"/>
      </w:pPr>
    </w:lvl>
    <w:lvl w:ilvl="8" w:tplc="FFFFFFFF" w:tentative="1">
      <w:start w:val="1"/>
      <w:numFmt w:val="lowerRoman"/>
      <w:lvlText w:val="%9."/>
      <w:lvlJc w:val="right"/>
      <w:pPr>
        <w:ind w:left="6030" w:hanging="180"/>
      </w:pPr>
    </w:lvl>
  </w:abstractNum>
  <w:abstractNum w:abstractNumId="180" w15:restartNumberingAfterBreak="0">
    <w:nsid w:val="7C341B76"/>
    <w:multiLevelType w:val="hybridMultilevel"/>
    <w:tmpl w:val="51B612CA"/>
    <w:lvl w:ilvl="0" w:tplc="7F0209FE">
      <w:start w:val="1"/>
      <w:numFmt w:val="bullet"/>
      <w:lvlText w:val=""/>
      <w:lvlJc w:val="left"/>
      <w:pPr>
        <w:ind w:left="720" w:hanging="360"/>
      </w:pPr>
      <w:rPr>
        <w:rFonts w:ascii="Wingdings" w:hAnsi="Wingdings" w:hint="default"/>
        <w:b w:val="0"/>
        <w:bCs w:val="0"/>
        <w:i w:val="0"/>
        <w:iCs w:val="0"/>
        <w:caps w:val="0"/>
        <w:smallCaps w:val="0"/>
        <w:strike w:val="0"/>
        <w:dstrike w:val="0"/>
        <w:color w:val="1896A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7C8E3967"/>
    <w:multiLevelType w:val="multilevel"/>
    <w:tmpl w:val="C6A8B4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643"/>
        </w:tabs>
        <w:ind w:left="643"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7DA86B39"/>
    <w:multiLevelType w:val="multilevel"/>
    <w:tmpl w:val="A2841362"/>
    <w:lvl w:ilvl="0">
      <w:start w:val="1"/>
      <w:numFmt w:val="bullet"/>
      <w:lvlText w:val=""/>
      <w:lvlJc w:val="left"/>
      <w:pPr>
        <w:ind w:left="502" w:hanging="360"/>
      </w:pPr>
      <w:rPr>
        <w:rFonts w:ascii="Wingdings" w:hAnsi="Wingdings" w:hint="default"/>
      </w:rPr>
    </w:lvl>
    <w:lvl w:ilvl="1">
      <w:start w:val="1"/>
      <w:numFmt w:val="decimal"/>
      <w:lvlText w:val="%2."/>
      <w:lvlJc w:val="left"/>
      <w:pPr>
        <w:ind w:left="1222" w:hanging="360"/>
      </w:pPr>
    </w:lvl>
    <w:lvl w:ilvl="2">
      <w:start w:val="1"/>
      <w:numFmt w:val="decimal"/>
      <w:lvlText w:val="%3."/>
      <w:lvlJc w:val="left"/>
      <w:pPr>
        <w:ind w:left="1942" w:hanging="360"/>
      </w:pPr>
    </w:lvl>
    <w:lvl w:ilvl="3">
      <w:start w:val="1"/>
      <w:numFmt w:val="decimal"/>
      <w:lvlText w:val="%4."/>
      <w:lvlJc w:val="left"/>
      <w:pPr>
        <w:ind w:left="2662" w:hanging="360"/>
      </w:pPr>
    </w:lvl>
    <w:lvl w:ilvl="4">
      <w:start w:val="1"/>
      <w:numFmt w:val="decimal"/>
      <w:lvlText w:val="%5."/>
      <w:lvlJc w:val="left"/>
      <w:pPr>
        <w:ind w:left="3382" w:hanging="360"/>
      </w:pPr>
    </w:lvl>
    <w:lvl w:ilvl="5">
      <w:start w:val="1"/>
      <w:numFmt w:val="decimal"/>
      <w:lvlText w:val="%6."/>
      <w:lvlJc w:val="left"/>
      <w:pPr>
        <w:ind w:left="4102" w:hanging="360"/>
      </w:pPr>
    </w:lvl>
    <w:lvl w:ilvl="6">
      <w:start w:val="1"/>
      <w:numFmt w:val="decimal"/>
      <w:lvlText w:val="%7."/>
      <w:lvlJc w:val="left"/>
      <w:pPr>
        <w:ind w:left="4822" w:hanging="360"/>
      </w:pPr>
    </w:lvl>
    <w:lvl w:ilvl="7">
      <w:start w:val="1"/>
      <w:numFmt w:val="decimal"/>
      <w:lvlText w:val="%8."/>
      <w:lvlJc w:val="left"/>
      <w:pPr>
        <w:ind w:left="5542" w:hanging="360"/>
      </w:pPr>
    </w:lvl>
    <w:lvl w:ilvl="8">
      <w:start w:val="1"/>
      <w:numFmt w:val="decimal"/>
      <w:lvlText w:val="%9."/>
      <w:lvlJc w:val="left"/>
      <w:pPr>
        <w:ind w:left="6262" w:hanging="360"/>
      </w:pPr>
    </w:lvl>
  </w:abstractNum>
  <w:abstractNum w:abstractNumId="183" w15:restartNumberingAfterBreak="0">
    <w:nsid w:val="7E3456F4"/>
    <w:multiLevelType w:val="multilevel"/>
    <w:tmpl w:val="4A1A43A2"/>
    <w:lvl w:ilvl="0">
      <w:start w:val="1"/>
      <w:numFmt w:val="bullet"/>
      <w:lvlText w:val="●"/>
      <w:lvlJc w:val="left"/>
      <w:pPr>
        <w:ind w:left="360" w:hanging="360"/>
      </w:pPr>
      <w:rPr>
        <w:rFonts w:ascii="Noto Sans Symbols" w:eastAsia="Noto Sans Symbols" w:hAnsi="Noto Sans Symbols" w:cs="Noto Sans Symbols"/>
        <w:sz w:val="20"/>
        <w:szCs w:val="20"/>
      </w:rPr>
    </w:lvl>
    <w:lvl w:ilvl="1">
      <w:start w:val="1"/>
      <w:numFmt w:val="decimal"/>
      <w:lvlText w:val="%2."/>
      <w:lvlJc w:val="left"/>
      <w:pPr>
        <w:ind w:left="360" w:hanging="360"/>
      </w:pPr>
    </w:lvl>
    <w:lvl w:ilvl="2">
      <w:start w:val="1"/>
      <w:numFmt w:val="bullet"/>
      <w:lvlText w:val="▪"/>
      <w:lvlJc w:val="left"/>
      <w:pPr>
        <w:ind w:left="1800" w:hanging="360"/>
      </w:pPr>
      <w:rPr>
        <w:rFonts w:ascii="Noto Sans Symbols" w:eastAsia="Noto Sans Symbols" w:hAnsi="Noto Sans Symbols" w:cs="Noto Sans Symbols"/>
        <w:sz w:val="20"/>
        <w:szCs w:val="20"/>
      </w:rPr>
    </w:lvl>
    <w:lvl w:ilvl="3">
      <w:start w:val="1"/>
      <w:numFmt w:val="bullet"/>
      <w:lvlText w:val="▪"/>
      <w:lvlJc w:val="left"/>
      <w:pPr>
        <w:ind w:left="2520" w:hanging="360"/>
      </w:pPr>
      <w:rPr>
        <w:rFonts w:ascii="Noto Sans Symbols" w:eastAsia="Noto Sans Symbols" w:hAnsi="Noto Sans Symbols" w:cs="Noto Sans Symbols"/>
        <w:sz w:val="20"/>
        <w:szCs w:val="20"/>
      </w:rPr>
    </w:lvl>
    <w:lvl w:ilvl="4">
      <w:start w:val="1"/>
      <w:numFmt w:val="bullet"/>
      <w:lvlText w:val="▪"/>
      <w:lvlJc w:val="left"/>
      <w:pPr>
        <w:ind w:left="3240" w:hanging="360"/>
      </w:pPr>
      <w:rPr>
        <w:rFonts w:ascii="Noto Sans Symbols" w:eastAsia="Noto Sans Symbols" w:hAnsi="Noto Sans Symbols" w:cs="Noto Sans Symbols"/>
        <w:sz w:val="20"/>
        <w:szCs w:val="20"/>
      </w:rPr>
    </w:lvl>
    <w:lvl w:ilvl="5">
      <w:start w:val="1"/>
      <w:numFmt w:val="bullet"/>
      <w:lvlText w:val="▪"/>
      <w:lvlJc w:val="left"/>
      <w:pPr>
        <w:ind w:left="3960" w:hanging="360"/>
      </w:pPr>
      <w:rPr>
        <w:rFonts w:ascii="Noto Sans Symbols" w:eastAsia="Noto Sans Symbols" w:hAnsi="Noto Sans Symbols" w:cs="Noto Sans Symbols"/>
        <w:sz w:val="20"/>
        <w:szCs w:val="20"/>
      </w:rPr>
    </w:lvl>
    <w:lvl w:ilvl="6">
      <w:start w:val="1"/>
      <w:numFmt w:val="bullet"/>
      <w:lvlText w:val="▪"/>
      <w:lvlJc w:val="left"/>
      <w:pPr>
        <w:ind w:left="4680" w:hanging="360"/>
      </w:pPr>
      <w:rPr>
        <w:rFonts w:ascii="Noto Sans Symbols" w:eastAsia="Noto Sans Symbols" w:hAnsi="Noto Sans Symbols" w:cs="Noto Sans Symbols"/>
        <w:sz w:val="20"/>
        <w:szCs w:val="20"/>
      </w:rPr>
    </w:lvl>
    <w:lvl w:ilvl="7">
      <w:start w:val="1"/>
      <w:numFmt w:val="bullet"/>
      <w:lvlText w:val="▪"/>
      <w:lvlJc w:val="left"/>
      <w:pPr>
        <w:ind w:left="5400" w:hanging="360"/>
      </w:pPr>
      <w:rPr>
        <w:rFonts w:ascii="Noto Sans Symbols" w:eastAsia="Noto Sans Symbols" w:hAnsi="Noto Sans Symbols" w:cs="Noto Sans Symbols"/>
        <w:sz w:val="20"/>
        <w:szCs w:val="20"/>
      </w:rPr>
    </w:lvl>
    <w:lvl w:ilvl="8">
      <w:start w:val="1"/>
      <w:numFmt w:val="bullet"/>
      <w:lvlText w:val="▪"/>
      <w:lvlJc w:val="left"/>
      <w:pPr>
        <w:ind w:left="6120" w:hanging="360"/>
      </w:pPr>
      <w:rPr>
        <w:rFonts w:ascii="Noto Sans Symbols" w:eastAsia="Noto Sans Symbols" w:hAnsi="Noto Sans Symbols" w:cs="Noto Sans Symbols"/>
        <w:sz w:val="20"/>
        <w:szCs w:val="20"/>
      </w:rPr>
    </w:lvl>
  </w:abstractNum>
  <w:abstractNum w:abstractNumId="184" w15:restartNumberingAfterBreak="0">
    <w:nsid w:val="7E432288"/>
    <w:multiLevelType w:val="hybridMultilevel"/>
    <w:tmpl w:val="2ED4C44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5" w15:restartNumberingAfterBreak="0">
    <w:nsid w:val="7EAB3104"/>
    <w:multiLevelType w:val="hybridMultilevel"/>
    <w:tmpl w:val="6A9668A0"/>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6" w15:restartNumberingAfterBreak="0">
    <w:nsid w:val="7F750B61"/>
    <w:multiLevelType w:val="hybridMultilevel"/>
    <w:tmpl w:val="DEE8E3FA"/>
    <w:lvl w:ilvl="0" w:tplc="0409000F">
      <w:start w:val="1"/>
      <w:numFmt w:val="decimal"/>
      <w:lvlText w:val="%1."/>
      <w:lvlJc w:val="left"/>
      <w:pPr>
        <w:ind w:left="720" w:hanging="360"/>
      </w:pPr>
    </w:lvl>
    <w:lvl w:ilvl="1" w:tplc="FFFFFFFF">
      <w:start w:val="1"/>
      <w:numFmt w:val="decimal"/>
      <w:lvlText w:val="%2."/>
      <w:lvlJc w:val="left"/>
      <w:pPr>
        <w:ind w:left="990" w:hanging="360"/>
      </w:pPr>
    </w:lvl>
    <w:lvl w:ilvl="2" w:tplc="FFFFFFFF" w:tentative="1">
      <w:start w:val="1"/>
      <w:numFmt w:val="lowerRoman"/>
      <w:lvlText w:val="%3."/>
      <w:lvlJc w:val="right"/>
      <w:pPr>
        <w:ind w:left="1710" w:hanging="180"/>
      </w:pPr>
    </w:lvl>
    <w:lvl w:ilvl="3" w:tplc="FFFFFFFF" w:tentative="1">
      <w:start w:val="1"/>
      <w:numFmt w:val="decimal"/>
      <w:lvlText w:val="%4."/>
      <w:lvlJc w:val="left"/>
      <w:pPr>
        <w:ind w:left="2430" w:hanging="360"/>
      </w:pPr>
    </w:lvl>
    <w:lvl w:ilvl="4" w:tplc="FFFFFFFF" w:tentative="1">
      <w:start w:val="1"/>
      <w:numFmt w:val="lowerLetter"/>
      <w:lvlText w:val="%5."/>
      <w:lvlJc w:val="left"/>
      <w:pPr>
        <w:ind w:left="3150" w:hanging="360"/>
      </w:pPr>
    </w:lvl>
    <w:lvl w:ilvl="5" w:tplc="FFFFFFFF" w:tentative="1">
      <w:start w:val="1"/>
      <w:numFmt w:val="lowerRoman"/>
      <w:lvlText w:val="%6."/>
      <w:lvlJc w:val="right"/>
      <w:pPr>
        <w:ind w:left="3870" w:hanging="180"/>
      </w:pPr>
    </w:lvl>
    <w:lvl w:ilvl="6" w:tplc="FFFFFFFF" w:tentative="1">
      <w:start w:val="1"/>
      <w:numFmt w:val="decimal"/>
      <w:lvlText w:val="%7."/>
      <w:lvlJc w:val="left"/>
      <w:pPr>
        <w:ind w:left="4590" w:hanging="360"/>
      </w:pPr>
    </w:lvl>
    <w:lvl w:ilvl="7" w:tplc="FFFFFFFF" w:tentative="1">
      <w:start w:val="1"/>
      <w:numFmt w:val="lowerLetter"/>
      <w:lvlText w:val="%8."/>
      <w:lvlJc w:val="left"/>
      <w:pPr>
        <w:ind w:left="5310" w:hanging="360"/>
      </w:pPr>
    </w:lvl>
    <w:lvl w:ilvl="8" w:tplc="FFFFFFFF" w:tentative="1">
      <w:start w:val="1"/>
      <w:numFmt w:val="lowerRoman"/>
      <w:lvlText w:val="%9."/>
      <w:lvlJc w:val="right"/>
      <w:pPr>
        <w:ind w:left="6030" w:hanging="180"/>
      </w:pPr>
    </w:lvl>
  </w:abstractNum>
  <w:abstractNum w:abstractNumId="187" w15:restartNumberingAfterBreak="0">
    <w:nsid w:val="7F925A46"/>
    <w:multiLevelType w:val="hybridMultilevel"/>
    <w:tmpl w:val="092A0E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15:restartNumberingAfterBreak="0">
    <w:nsid w:val="7FED7BF4"/>
    <w:multiLevelType w:val="multilevel"/>
    <w:tmpl w:val="3F422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3508798">
    <w:abstractNumId w:val="34"/>
  </w:num>
  <w:num w:numId="2" w16cid:durableId="540482224">
    <w:abstractNumId w:val="94"/>
  </w:num>
  <w:num w:numId="3" w16cid:durableId="2439966">
    <w:abstractNumId w:val="54"/>
  </w:num>
  <w:num w:numId="4" w16cid:durableId="660620469">
    <w:abstractNumId w:val="9"/>
  </w:num>
  <w:num w:numId="5" w16cid:durableId="780537502">
    <w:abstractNumId w:val="125"/>
  </w:num>
  <w:num w:numId="6" w16cid:durableId="1146245381">
    <w:abstractNumId w:val="89"/>
  </w:num>
  <w:num w:numId="7" w16cid:durableId="1766657108">
    <w:abstractNumId w:val="84"/>
  </w:num>
  <w:num w:numId="8" w16cid:durableId="105081034">
    <w:abstractNumId w:val="86"/>
  </w:num>
  <w:num w:numId="9" w16cid:durableId="230311119">
    <w:abstractNumId w:val="105"/>
  </w:num>
  <w:num w:numId="10" w16cid:durableId="1308196237">
    <w:abstractNumId w:val="140"/>
  </w:num>
  <w:num w:numId="11" w16cid:durableId="1823541216">
    <w:abstractNumId w:val="24"/>
  </w:num>
  <w:num w:numId="12" w16cid:durableId="825321155">
    <w:abstractNumId w:val="148"/>
  </w:num>
  <w:num w:numId="13" w16cid:durableId="2124960647">
    <w:abstractNumId w:val="32"/>
  </w:num>
  <w:num w:numId="14" w16cid:durableId="2038238801">
    <w:abstractNumId w:val="112"/>
  </w:num>
  <w:num w:numId="15" w16cid:durableId="1440644007">
    <w:abstractNumId w:val="18"/>
  </w:num>
  <w:num w:numId="16" w16cid:durableId="2029214963">
    <w:abstractNumId w:val="35"/>
  </w:num>
  <w:num w:numId="17" w16cid:durableId="1635327866">
    <w:abstractNumId w:val="34"/>
  </w:num>
  <w:num w:numId="18" w16cid:durableId="1187137411">
    <w:abstractNumId w:val="114"/>
  </w:num>
  <w:num w:numId="19" w16cid:durableId="1716807206">
    <w:abstractNumId w:val="85"/>
  </w:num>
  <w:num w:numId="20" w16cid:durableId="1976641153">
    <w:abstractNumId w:val="51"/>
  </w:num>
  <w:num w:numId="21" w16cid:durableId="614020836">
    <w:abstractNumId w:val="160"/>
  </w:num>
  <w:num w:numId="22" w16cid:durableId="570425937">
    <w:abstractNumId w:val="25"/>
  </w:num>
  <w:num w:numId="23" w16cid:durableId="916016562">
    <w:abstractNumId w:val="181"/>
  </w:num>
  <w:num w:numId="24" w16cid:durableId="655380084">
    <w:abstractNumId w:val="163"/>
  </w:num>
  <w:num w:numId="25" w16cid:durableId="1603030929">
    <w:abstractNumId w:val="103"/>
  </w:num>
  <w:num w:numId="26" w16cid:durableId="1461339072">
    <w:abstractNumId w:val="34"/>
  </w:num>
  <w:num w:numId="27" w16cid:durableId="939340298">
    <w:abstractNumId w:val="69"/>
  </w:num>
  <w:num w:numId="28" w16cid:durableId="1371302758">
    <w:abstractNumId w:val="34"/>
  </w:num>
  <w:num w:numId="29" w16cid:durableId="353770253">
    <w:abstractNumId w:val="66"/>
  </w:num>
  <w:num w:numId="30" w16cid:durableId="1292445427">
    <w:abstractNumId w:val="34"/>
  </w:num>
  <w:num w:numId="31" w16cid:durableId="960068138">
    <w:abstractNumId w:val="34"/>
  </w:num>
  <w:num w:numId="32" w16cid:durableId="1643577863">
    <w:abstractNumId w:val="34"/>
  </w:num>
  <w:num w:numId="33" w16cid:durableId="370961330">
    <w:abstractNumId w:val="34"/>
  </w:num>
  <w:num w:numId="34" w16cid:durableId="1135373915">
    <w:abstractNumId w:val="34"/>
  </w:num>
  <w:num w:numId="35" w16cid:durableId="1618945362">
    <w:abstractNumId w:val="4"/>
  </w:num>
  <w:num w:numId="36" w16cid:durableId="1694842195">
    <w:abstractNumId w:val="107"/>
  </w:num>
  <w:num w:numId="37" w16cid:durableId="765730134">
    <w:abstractNumId w:val="76"/>
  </w:num>
  <w:num w:numId="38" w16cid:durableId="1318654132">
    <w:abstractNumId w:val="63"/>
  </w:num>
  <w:num w:numId="39" w16cid:durableId="1544248611">
    <w:abstractNumId w:val="23"/>
  </w:num>
  <w:num w:numId="40" w16cid:durableId="353305807">
    <w:abstractNumId w:val="185"/>
  </w:num>
  <w:num w:numId="41" w16cid:durableId="728572654">
    <w:abstractNumId w:val="91"/>
  </w:num>
  <w:num w:numId="42" w16cid:durableId="244071900">
    <w:abstractNumId w:val="34"/>
  </w:num>
  <w:num w:numId="43" w16cid:durableId="771241502">
    <w:abstractNumId w:val="122"/>
  </w:num>
  <w:num w:numId="44" w16cid:durableId="302203288">
    <w:abstractNumId w:val="70"/>
  </w:num>
  <w:num w:numId="45" w16cid:durableId="1487891096">
    <w:abstractNumId w:val="22"/>
  </w:num>
  <w:num w:numId="46" w16cid:durableId="182401922">
    <w:abstractNumId w:val="34"/>
  </w:num>
  <w:num w:numId="47" w16cid:durableId="218634408">
    <w:abstractNumId w:val="39"/>
  </w:num>
  <w:num w:numId="48" w16cid:durableId="317727522">
    <w:abstractNumId w:val="81"/>
  </w:num>
  <w:num w:numId="49" w16cid:durableId="60258302">
    <w:abstractNumId w:val="38"/>
  </w:num>
  <w:num w:numId="50" w16cid:durableId="1711152682">
    <w:abstractNumId w:val="26"/>
  </w:num>
  <w:num w:numId="51" w16cid:durableId="149684788">
    <w:abstractNumId w:val="88"/>
  </w:num>
  <w:num w:numId="52" w16cid:durableId="757100414">
    <w:abstractNumId w:val="34"/>
  </w:num>
  <w:num w:numId="53" w16cid:durableId="1125466126">
    <w:abstractNumId w:val="34"/>
  </w:num>
  <w:num w:numId="54" w16cid:durableId="1106392150">
    <w:abstractNumId w:val="37"/>
  </w:num>
  <w:num w:numId="55" w16cid:durableId="379060967">
    <w:abstractNumId w:val="79"/>
  </w:num>
  <w:num w:numId="56" w16cid:durableId="564756452">
    <w:abstractNumId w:val="110"/>
  </w:num>
  <w:num w:numId="57" w16cid:durableId="762845976">
    <w:abstractNumId w:val="28"/>
  </w:num>
  <w:num w:numId="58" w16cid:durableId="1842812877">
    <w:abstractNumId w:val="109"/>
  </w:num>
  <w:num w:numId="59" w16cid:durableId="2040081659">
    <w:abstractNumId w:val="46"/>
  </w:num>
  <w:num w:numId="60" w16cid:durableId="626670004">
    <w:abstractNumId w:val="138"/>
  </w:num>
  <w:num w:numId="61" w16cid:durableId="1096710028">
    <w:abstractNumId w:val="1"/>
  </w:num>
  <w:num w:numId="62" w16cid:durableId="1565678384">
    <w:abstractNumId w:val="34"/>
  </w:num>
  <w:num w:numId="63" w16cid:durableId="480583969">
    <w:abstractNumId w:val="34"/>
  </w:num>
  <w:num w:numId="64" w16cid:durableId="1630352874">
    <w:abstractNumId w:val="58"/>
  </w:num>
  <w:num w:numId="65" w16cid:durableId="43217722">
    <w:abstractNumId w:val="34"/>
  </w:num>
  <w:num w:numId="66" w16cid:durableId="1336610634">
    <w:abstractNumId w:val="75"/>
  </w:num>
  <w:num w:numId="67" w16cid:durableId="548998248">
    <w:abstractNumId w:val="41"/>
  </w:num>
  <w:num w:numId="68" w16cid:durableId="441076175">
    <w:abstractNumId w:val="96"/>
  </w:num>
  <w:num w:numId="69" w16cid:durableId="15663397">
    <w:abstractNumId w:val="34"/>
  </w:num>
  <w:num w:numId="70" w16cid:durableId="1953317441">
    <w:abstractNumId w:val="169"/>
  </w:num>
  <w:num w:numId="71" w16cid:durableId="1720592832">
    <w:abstractNumId w:val="184"/>
  </w:num>
  <w:num w:numId="72" w16cid:durableId="2107799764">
    <w:abstractNumId w:val="34"/>
  </w:num>
  <w:num w:numId="73" w16cid:durableId="1302811530">
    <w:abstractNumId w:val="111"/>
  </w:num>
  <w:num w:numId="74" w16cid:durableId="1631327148">
    <w:abstractNumId w:val="34"/>
  </w:num>
  <w:num w:numId="75" w16cid:durableId="524368918">
    <w:abstractNumId w:val="34"/>
  </w:num>
  <w:num w:numId="76" w16cid:durableId="607664233">
    <w:abstractNumId w:val="34"/>
  </w:num>
  <w:num w:numId="77" w16cid:durableId="1840465654">
    <w:abstractNumId w:val="34"/>
  </w:num>
  <w:num w:numId="78" w16cid:durableId="2004552136">
    <w:abstractNumId w:val="34"/>
  </w:num>
  <w:num w:numId="79" w16cid:durableId="1976595971">
    <w:abstractNumId w:val="34"/>
  </w:num>
  <w:num w:numId="80" w16cid:durableId="753673999">
    <w:abstractNumId w:val="34"/>
  </w:num>
  <w:num w:numId="81" w16cid:durableId="583492636">
    <w:abstractNumId w:val="34"/>
  </w:num>
  <w:num w:numId="82" w16cid:durableId="1982033778">
    <w:abstractNumId w:val="34"/>
  </w:num>
  <w:num w:numId="83" w16cid:durableId="1851916630">
    <w:abstractNumId w:val="34"/>
  </w:num>
  <w:num w:numId="84" w16cid:durableId="2022462831">
    <w:abstractNumId w:val="34"/>
  </w:num>
  <w:num w:numId="85" w16cid:durableId="414279002">
    <w:abstractNumId w:val="34"/>
  </w:num>
  <w:num w:numId="86" w16cid:durableId="1062483399">
    <w:abstractNumId w:val="34"/>
  </w:num>
  <w:num w:numId="87" w16cid:durableId="372508072">
    <w:abstractNumId w:val="126"/>
  </w:num>
  <w:num w:numId="88" w16cid:durableId="1657563963">
    <w:abstractNumId w:val="34"/>
  </w:num>
  <w:num w:numId="89" w16cid:durableId="232157903">
    <w:abstractNumId w:val="34"/>
  </w:num>
  <w:num w:numId="90" w16cid:durableId="364134645">
    <w:abstractNumId w:val="141"/>
  </w:num>
  <w:num w:numId="91" w16cid:durableId="296106674">
    <w:abstractNumId w:val="34"/>
  </w:num>
  <w:num w:numId="92" w16cid:durableId="216092849">
    <w:abstractNumId w:val="156"/>
  </w:num>
  <w:num w:numId="93" w16cid:durableId="34938926">
    <w:abstractNumId w:val="34"/>
  </w:num>
  <w:num w:numId="94" w16cid:durableId="226036951">
    <w:abstractNumId w:val="34"/>
  </w:num>
  <w:num w:numId="95" w16cid:durableId="847211766">
    <w:abstractNumId w:val="34"/>
  </w:num>
  <w:num w:numId="96" w16cid:durableId="833185337">
    <w:abstractNumId w:val="34"/>
  </w:num>
  <w:num w:numId="97" w16cid:durableId="460347741">
    <w:abstractNumId w:val="101"/>
  </w:num>
  <w:num w:numId="98" w16cid:durableId="833498206">
    <w:abstractNumId w:val="167"/>
  </w:num>
  <w:num w:numId="99" w16cid:durableId="435948389">
    <w:abstractNumId w:val="34"/>
  </w:num>
  <w:num w:numId="100" w16cid:durableId="866866964">
    <w:abstractNumId w:val="34"/>
  </w:num>
  <w:num w:numId="101" w16cid:durableId="13044645">
    <w:abstractNumId w:val="59"/>
  </w:num>
  <w:num w:numId="102" w16cid:durableId="2060782447">
    <w:abstractNumId w:val="131"/>
  </w:num>
  <w:num w:numId="103" w16cid:durableId="1985815185">
    <w:abstractNumId w:val="129"/>
  </w:num>
  <w:num w:numId="104" w16cid:durableId="916327323">
    <w:abstractNumId w:val="132"/>
  </w:num>
  <w:num w:numId="105" w16cid:durableId="378480338">
    <w:abstractNumId w:val="135"/>
  </w:num>
  <w:num w:numId="106" w16cid:durableId="1909417214">
    <w:abstractNumId w:val="52"/>
  </w:num>
  <w:num w:numId="107" w16cid:durableId="1625035092">
    <w:abstractNumId w:val="139"/>
  </w:num>
  <w:num w:numId="108" w16cid:durableId="1520895172">
    <w:abstractNumId w:val="34"/>
  </w:num>
  <w:num w:numId="109" w16cid:durableId="2023437820">
    <w:abstractNumId w:val="34"/>
  </w:num>
  <w:num w:numId="110" w16cid:durableId="865293492">
    <w:abstractNumId w:val="34"/>
  </w:num>
  <w:num w:numId="111" w16cid:durableId="399208042">
    <w:abstractNumId w:val="34"/>
  </w:num>
  <w:num w:numId="112" w16cid:durableId="552547092">
    <w:abstractNumId w:val="34"/>
  </w:num>
  <w:num w:numId="113" w16cid:durableId="1944529000">
    <w:abstractNumId w:val="177"/>
  </w:num>
  <w:num w:numId="114" w16cid:durableId="520049678">
    <w:abstractNumId w:val="162"/>
  </w:num>
  <w:num w:numId="115" w16cid:durableId="857625294">
    <w:abstractNumId w:val="64"/>
  </w:num>
  <w:num w:numId="116" w16cid:durableId="1164315386">
    <w:abstractNumId w:val="155"/>
  </w:num>
  <w:num w:numId="117" w16cid:durableId="2112311650">
    <w:abstractNumId w:val="34"/>
  </w:num>
  <w:num w:numId="118" w16cid:durableId="766998712">
    <w:abstractNumId w:val="34"/>
  </w:num>
  <w:num w:numId="119" w16cid:durableId="573128688">
    <w:abstractNumId w:val="34"/>
  </w:num>
  <w:num w:numId="120" w16cid:durableId="1823539344">
    <w:abstractNumId w:val="34"/>
  </w:num>
  <w:num w:numId="121" w16cid:durableId="1452549111">
    <w:abstractNumId w:val="34"/>
  </w:num>
  <w:num w:numId="122" w16cid:durableId="1398164765">
    <w:abstractNumId w:val="34"/>
  </w:num>
  <w:num w:numId="123" w16cid:durableId="530873531">
    <w:abstractNumId w:val="34"/>
  </w:num>
  <w:num w:numId="124" w16cid:durableId="1662154928">
    <w:abstractNumId w:val="34"/>
  </w:num>
  <w:num w:numId="125" w16cid:durableId="1085883984">
    <w:abstractNumId w:val="34"/>
  </w:num>
  <w:num w:numId="126" w16cid:durableId="1007362875">
    <w:abstractNumId w:val="118"/>
  </w:num>
  <w:num w:numId="127" w16cid:durableId="2077627047">
    <w:abstractNumId w:val="179"/>
  </w:num>
  <w:num w:numId="128" w16cid:durableId="1135490284">
    <w:abstractNumId w:val="82"/>
  </w:num>
  <w:num w:numId="129" w16cid:durableId="546113786">
    <w:abstractNumId w:val="34"/>
  </w:num>
  <w:num w:numId="130" w16cid:durableId="452672553">
    <w:abstractNumId w:val="136"/>
  </w:num>
  <w:num w:numId="131" w16cid:durableId="1207067058">
    <w:abstractNumId w:val="106"/>
  </w:num>
  <w:num w:numId="132" w16cid:durableId="2045203259">
    <w:abstractNumId w:val="43"/>
  </w:num>
  <w:num w:numId="133" w16cid:durableId="560822209">
    <w:abstractNumId w:val="142"/>
  </w:num>
  <w:num w:numId="134" w16cid:durableId="1582258140">
    <w:abstractNumId w:val="147"/>
  </w:num>
  <w:num w:numId="135" w16cid:durableId="1291745744">
    <w:abstractNumId w:val="176"/>
  </w:num>
  <w:num w:numId="136" w16cid:durableId="560168212">
    <w:abstractNumId w:val="92"/>
  </w:num>
  <w:num w:numId="137" w16cid:durableId="666903024">
    <w:abstractNumId w:val="56"/>
  </w:num>
  <w:num w:numId="138" w16cid:durableId="233439432">
    <w:abstractNumId w:val="34"/>
  </w:num>
  <w:num w:numId="139" w16cid:durableId="1952742092">
    <w:abstractNumId w:val="10"/>
  </w:num>
  <w:num w:numId="140" w16cid:durableId="869418316">
    <w:abstractNumId w:val="186"/>
  </w:num>
  <w:num w:numId="141" w16cid:durableId="214658877">
    <w:abstractNumId w:val="87"/>
  </w:num>
  <w:num w:numId="142" w16cid:durableId="221059481">
    <w:abstractNumId w:val="73"/>
  </w:num>
  <w:num w:numId="143" w16cid:durableId="1778136666">
    <w:abstractNumId w:val="108"/>
  </w:num>
  <w:num w:numId="144" w16cid:durableId="1327124171">
    <w:abstractNumId w:val="187"/>
  </w:num>
  <w:num w:numId="145" w16cid:durableId="1677616371">
    <w:abstractNumId w:val="40"/>
  </w:num>
  <w:num w:numId="146" w16cid:durableId="1476023857">
    <w:abstractNumId w:val="6"/>
  </w:num>
  <w:num w:numId="147" w16cid:durableId="339819133">
    <w:abstractNumId w:val="34"/>
  </w:num>
  <w:num w:numId="148" w16cid:durableId="362174394">
    <w:abstractNumId w:val="34"/>
  </w:num>
  <w:num w:numId="149" w16cid:durableId="400641974">
    <w:abstractNumId w:val="34"/>
  </w:num>
  <w:num w:numId="150" w16cid:durableId="229774455">
    <w:abstractNumId w:val="34"/>
  </w:num>
  <w:num w:numId="151" w16cid:durableId="919145479">
    <w:abstractNumId w:val="34"/>
  </w:num>
  <w:num w:numId="152" w16cid:durableId="955912974">
    <w:abstractNumId w:val="34"/>
  </w:num>
  <w:num w:numId="153" w16cid:durableId="604729564">
    <w:abstractNumId w:val="34"/>
  </w:num>
  <w:num w:numId="154" w16cid:durableId="871501981">
    <w:abstractNumId w:val="34"/>
  </w:num>
  <w:num w:numId="155" w16cid:durableId="805587612">
    <w:abstractNumId w:val="34"/>
  </w:num>
  <w:num w:numId="156" w16cid:durableId="1202862494">
    <w:abstractNumId w:val="34"/>
  </w:num>
  <w:num w:numId="157" w16cid:durableId="770782733">
    <w:abstractNumId w:val="34"/>
  </w:num>
  <w:num w:numId="158" w16cid:durableId="1191145238">
    <w:abstractNumId w:val="34"/>
  </w:num>
  <w:num w:numId="159" w16cid:durableId="664095247">
    <w:abstractNumId w:val="34"/>
  </w:num>
  <w:num w:numId="160" w16cid:durableId="501048802">
    <w:abstractNumId w:val="34"/>
  </w:num>
  <w:num w:numId="161" w16cid:durableId="1182158324">
    <w:abstractNumId w:val="34"/>
  </w:num>
  <w:num w:numId="162" w16cid:durableId="542597258">
    <w:abstractNumId w:val="34"/>
  </w:num>
  <w:num w:numId="163" w16cid:durableId="768083412">
    <w:abstractNumId w:val="34"/>
  </w:num>
  <w:num w:numId="164" w16cid:durableId="1213231252">
    <w:abstractNumId w:val="34"/>
  </w:num>
  <w:num w:numId="165" w16cid:durableId="1095663299">
    <w:abstractNumId w:val="144"/>
  </w:num>
  <w:num w:numId="166" w16cid:durableId="292255601">
    <w:abstractNumId w:val="34"/>
  </w:num>
  <w:num w:numId="167" w16cid:durableId="297955980">
    <w:abstractNumId w:val="34"/>
  </w:num>
  <w:num w:numId="168" w16cid:durableId="551119480">
    <w:abstractNumId w:val="34"/>
  </w:num>
  <w:num w:numId="169" w16cid:durableId="699741874">
    <w:abstractNumId w:val="34"/>
  </w:num>
  <w:num w:numId="170" w16cid:durableId="1363825535">
    <w:abstractNumId w:val="17"/>
  </w:num>
  <w:num w:numId="171" w16cid:durableId="1294360615">
    <w:abstractNumId w:val="34"/>
  </w:num>
  <w:num w:numId="172" w16cid:durableId="626009654">
    <w:abstractNumId w:val="116"/>
  </w:num>
  <w:num w:numId="173" w16cid:durableId="969631091">
    <w:abstractNumId w:val="34"/>
  </w:num>
  <w:num w:numId="174" w16cid:durableId="1936590337">
    <w:abstractNumId w:val="34"/>
  </w:num>
  <w:num w:numId="175" w16cid:durableId="1655061498">
    <w:abstractNumId w:val="34"/>
  </w:num>
  <w:num w:numId="176" w16cid:durableId="661205428">
    <w:abstractNumId w:val="161"/>
  </w:num>
  <w:num w:numId="177" w16cid:durableId="1142652857">
    <w:abstractNumId w:val="42"/>
  </w:num>
  <w:num w:numId="178" w16cid:durableId="1265303877">
    <w:abstractNumId w:val="34"/>
  </w:num>
  <w:num w:numId="179" w16cid:durableId="1765689970">
    <w:abstractNumId w:val="31"/>
  </w:num>
  <w:num w:numId="180" w16cid:durableId="94133199">
    <w:abstractNumId w:val="34"/>
  </w:num>
  <w:num w:numId="181" w16cid:durableId="1274943592">
    <w:abstractNumId w:val="34"/>
  </w:num>
  <w:num w:numId="182" w16cid:durableId="2061781645">
    <w:abstractNumId w:val="34"/>
  </w:num>
  <w:num w:numId="183" w16cid:durableId="560293673">
    <w:abstractNumId w:val="34"/>
  </w:num>
  <w:num w:numId="184" w16cid:durableId="1811751795">
    <w:abstractNumId w:val="34"/>
  </w:num>
  <w:num w:numId="185" w16cid:durableId="667444616">
    <w:abstractNumId w:val="34"/>
  </w:num>
  <w:num w:numId="186" w16cid:durableId="425924387">
    <w:abstractNumId w:val="145"/>
  </w:num>
  <w:num w:numId="187" w16cid:durableId="690960792">
    <w:abstractNumId w:val="123"/>
  </w:num>
  <w:num w:numId="188" w16cid:durableId="1751653468">
    <w:abstractNumId w:val="168"/>
  </w:num>
  <w:num w:numId="189" w16cid:durableId="1398748252">
    <w:abstractNumId w:val="157"/>
  </w:num>
  <w:num w:numId="190" w16cid:durableId="1799110103">
    <w:abstractNumId w:val="34"/>
  </w:num>
  <w:num w:numId="191" w16cid:durableId="223029953">
    <w:abstractNumId w:val="34"/>
  </w:num>
  <w:num w:numId="192" w16cid:durableId="744570189">
    <w:abstractNumId w:val="164"/>
  </w:num>
  <w:num w:numId="193" w16cid:durableId="67728464">
    <w:abstractNumId w:val="34"/>
  </w:num>
  <w:num w:numId="194" w16cid:durableId="894120589">
    <w:abstractNumId w:val="172"/>
  </w:num>
  <w:num w:numId="195" w16cid:durableId="1270551938">
    <w:abstractNumId w:val="71"/>
  </w:num>
  <w:num w:numId="196" w16cid:durableId="1717001177">
    <w:abstractNumId w:val="33"/>
  </w:num>
  <w:num w:numId="197" w16cid:durableId="754087309">
    <w:abstractNumId w:val="119"/>
  </w:num>
  <w:num w:numId="198" w16cid:durableId="216286748">
    <w:abstractNumId w:val="143"/>
  </w:num>
  <w:num w:numId="199" w16cid:durableId="727921162">
    <w:abstractNumId w:val="30"/>
  </w:num>
  <w:num w:numId="200" w16cid:durableId="1997025871">
    <w:abstractNumId w:val="80"/>
  </w:num>
  <w:num w:numId="201" w16cid:durableId="1169518458">
    <w:abstractNumId w:val="83"/>
  </w:num>
  <w:num w:numId="202" w16cid:durableId="1130393847">
    <w:abstractNumId w:val="49"/>
  </w:num>
  <w:num w:numId="203" w16cid:durableId="1352491693">
    <w:abstractNumId w:val="48"/>
  </w:num>
  <w:num w:numId="204" w16cid:durableId="924387533">
    <w:abstractNumId w:val="102"/>
  </w:num>
  <w:num w:numId="205" w16cid:durableId="1839229294">
    <w:abstractNumId w:val="53"/>
  </w:num>
  <w:num w:numId="206" w16cid:durableId="976882235">
    <w:abstractNumId w:val="151"/>
  </w:num>
  <w:num w:numId="207" w16cid:durableId="986861136">
    <w:abstractNumId w:val="124"/>
  </w:num>
  <w:num w:numId="208" w16cid:durableId="1923178626">
    <w:abstractNumId w:val="19"/>
  </w:num>
  <w:num w:numId="209" w16cid:durableId="1620723329">
    <w:abstractNumId w:val="47"/>
  </w:num>
  <w:num w:numId="210" w16cid:durableId="349526044">
    <w:abstractNumId w:val="170"/>
  </w:num>
  <w:num w:numId="211" w16cid:durableId="894898315">
    <w:abstractNumId w:val="188"/>
  </w:num>
  <w:num w:numId="212" w16cid:durableId="791434800">
    <w:abstractNumId w:val="130"/>
  </w:num>
  <w:num w:numId="213" w16cid:durableId="598833357">
    <w:abstractNumId w:val="27"/>
  </w:num>
  <w:num w:numId="214" w16cid:durableId="591281638">
    <w:abstractNumId w:val="45"/>
  </w:num>
  <w:num w:numId="215" w16cid:durableId="555316981">
    <w:abstractNumId w:val="128"/>
  </w:num>
  <w:num w:numId="216" w16cid:durableId="1284728266">
    <w:abstractNumId w:val="133"/>
  </w:num>
  <w:num w:numId="217" w16cid:durableId="1839927420">
    <w:abstractNumId w:val="100"/>
  </w:num>
  <w:num w:numId="218" w16cid:durableId="1990358019">
    <w:abstractNumId w:val="14"/>
  </w:num>
  <w:num w:numId="219" w16cid:durableId="811871793">
    <w:abstractNumId w:val="0"/>
  </w:num>
  <w:num w:numId="220" w16cid:durableId="483547714">
    <w:abstractNumId w:val="95"/>
  </w:num>
  <w:num w:numId="221" w16cid:durableId="1133249268">
    <w:abstractNumId w:val="150"/>
  </w:num>
  <w:num w:numId="222" w16cid:durableId="954214997">
    <w:abstractNumId w:val="8"/>
  </w:num>
  <w:num w:numId="223" w16cid:durableId="1248491122">
    <w:abstractNumId w:val="77"/>
  </w:num>
  <w:num w:numId="224" w16cid:durableId="629627731">
    <w:abstractNumId w:val="121"/>
  </w:num>
  <w:num w:numId="225" w16cid:durableId="1409618644">
    <w:abstractNumId w:val="67"/>
  </w:num>
  <w:num w:numId="226" w16cid:durableId="137843667">
    <w:abstractNumId w:val="174"/>
  </w:num>
  <w:num w:numId="227" w16cid:durableId="1524513716">
    <w:abstractNumId w:val="90"/>
  </w:num>
  <w:num w:numId="228" w16cid:durableId="1447388504">
    <w:abstractNumId w:val="113"/>
  </w:num>
  <w:num w:numId="229" w16cid:durableId="813252286">
    <w:abstractNumId w:val="34"/>
  </w:num>
  <w:num w:numId="230" w16cid:durableId="821775004">
    <w:abstractNumId w:val="44"/>
  </w:num>
  <w:num w:numId="231" w16cid:durableId="27218742">
    <w:abstractNumId w:val="5"/>
  </w:num>
  <w:num w:numId="232" w16cid:durableId="224799568">
    <w:abstractNumId w:val="158"/>
  </w:num>
  <w:num w:numId="233" w16cid:durableId="1825046616">
    <w:abstractNumId w:val="149"/>
  </w:num>
  <w:num w:numId="234" w16cid:durableId="1348871293">
    <w:abstractNumId w:val="3"/>
  </w:num>
  <w:num w:numId="235" w16cid:durableId="903486577">
    <w:abstractNumId w:val="55"/>
  </w:num>
  <w:num w:numId="236" w16cid:durableId="1999964344">
    <w:abstractNumId w:val="153"/>
  </w:num>
  <w:num w:numId="237" w16cid:durableId="244923944">
    <w:abstractNumId w:val="127"/>
  </w:num>
  <w:num w:numId="238" w16cid:durableId="1025133988">
    <w:abstractNumId w:val="36"/>
  </w:num>
  <w:num w:numId="239" w16cid:durableId="1429429105">
    <w:abstractNumId w:val="117"/>
  </w:num>
  <w:num w:numId="240" w16cid:durableId="503133215">
    <w:abstractNumId w:val="137"/>
  </w:num>
  <w:num w:numId="241" w16cid:durableId="1312708777">
    <w:abstractNumId w:val="21"/>
  </w:num>
  <w:num w:numId="242" w16cid:durableId="663555288">
    <w:abstractNumId w:val="93"/>
  </w:num>
  <w:num w:numId="243" w16cid:durableId="126975233">
    <w:abstractNumId w:val="104"/>
  </w:num>
  <w:num w:numId="244" w16cid:durableId="1291937731">
    <w:abstractNumId w:val="57"/>
  </w:num>
  <w:num w:numId="245" w16cid:durableId="329601913">
    <w:abstractNumId w:val="166"/>
  </w:num>
  <w:num w:numId="246" w16cid:durableId="809176849">
    <w:abstractNumId w:val="78"/>
  </w:num>
  <w:num w:numId="247" w16cid:durableId="197158401">
    <w:abstractNumId w:val="165"/>
  </w:num>
  <w:num w:numId="248" w16cid:durableId="1064452725">
    <w:abstractNumId w:val="175"/>
  </w:num>
  <w:num w:numId="249" w16cid:durableId="1693140176">
    <w:abstractNumId w:val="2"/>
  </w:num>
  <w:num w:numId="250" w16cid:durableId="798455764">
    <w:abstractNumId w:val="20"/>
  </w:num>
  <w:num w:numId="251" w16cid:durableId="898252635">
    <w:abstractNumId w:val="34"/>
  </w:num>
  <w:num w:numId="252" w16cid:durableId="1891653690">
    <w:abstractNumId w:val="34"/>
  </w:num>
  <w:num w:numId="253" w16cid:durableId="603657154">
    <w:abstractNumId w:val="34"/>
  </w:num>
  <w:num w:numId="254" w16cid:durableId="525219794">
    <w:abstractNumId w:val="34"/>
  </w:num>
  <w:num w:numId="255" w16cid:durableId="398210631">
    <w:abstractNumId w:val="34"/>
  </w:num>
  <w:num w:numId="256" w16cid:durableId="2089963558">
    <w:abstractNumId w:val="34"/>
  </w:num>
  <w:num w:numId="257" w16cid:durableId="1990206709">
    <w:abstractNumId w:val="34"/>
  </w:num>
  <w:num w:numId="258" w16cid:durableId="1911888272">
    <w:abstractNumId w:val="34"/>
  </w:num>
  <w:num w:numId="259" w16cid:durableId="42482691">
    <w:abstractNumId w:val="34"/>
  </w:num>
  <w:num w:numId="260" w16cid:durableId="182474942">
    <w:abstractNumId w:val="34"/>
  </w:num>
  <w:num w:numId="261" w16cid:durableId="231932736">
    <w:abstractNumId w:val="34"/>
  </w:num>
  <w:num w:numId="262" w16cid:durableId="752971724">
    <w:abstractNumId w:val="34"/>
  </w:num>
  <w:num w:numId="263" w16cid:durableId="1147935012">
    <w:abstractNumId w:val="34"/>
  </w:num>
  <w:num w:numId="264" w16cid:durableId="107041971">
    <w:abstractNumId w:val="11"/>
  </w:num>
  <w:num w:numId="265" w16cid:durableId="954024323">
    <w:abstractNumId w:val="34"/>
  </w:num>
  <w:num w:numId="266" w16cid:durableId="842280433">
    <w:abstractNumId w:val="65"/>
  </w:num>
  <w:num w:numId="267" w16cid:durableId="1722552437">
    <w:abstractNumId w:val="34"/>
  </w:num>
  <w:num w:numId="268" w16cid:durableId="1833176759">
    <w:abstractNumId w:val="34"/>
  </w:num>
  <w:num w:numId="269" w16cid:durableId="1730807264">
    <w:abstractNumId w:val="74"/>
  </w:num>
  <w:num w:numId="270" w16cid:durableId="1151873653">
    <w:abstractNumId w:val="13"/>
  </w:num>
  <w:num w:numId="271" w16cid:durableId="1496604067">
    <w:abstractNumId w:val="173"/>
  </w:num>
  <w:num w:numId="272" w16cid:durableId="1438914580">
    <w:abstractNumId w:val="15"/>
  </w:num>
  <w:num w:numId="273" w16cid:durableId="1465343373">
    <w:abstractNumId w:val="152"/>
  </w:num>
  <w:num w:numId="274" w16cid:durableId="708381080">
    <w:abstractNumId w:val="68"/>
  </w:num>
  <w:num w:numId="275" w16cid:durableId="1618948256">
    <w:abstractNumId w:val="34"/>
  </w:num>
  <w:num w:numId="276" w16cid:durableId="370495256">
    <w:abstractNumId w:val="34"/>
  </w:num>
  <w:num w:numId="277" w16cid:durableId="1559825325">
    <w:abstractNumId w:val="120"/>
  </w:num>
  <w:num w:numId="278" w16cid:durableId="495725988">
    <w:abstractNumId w:val="98"/>
  </w:num>
  <w:num w:numId="279" w16cid:durableId="807010401">
    <w:abstractNumId w:val="61"/>
  </w:num>
  <w:num w:numId="280" w16cid:durableId="1739860708">
    <w:abstractNumId w:val="60"/>
  </w:num>
  <w:num w:numId="281" w16cid:durableId="1405562773">
    <w:abstractNumId w:val="97"/>
  </w:num>
  <w:num w:numId="282" w16cid:durableId="1790664039">
    <w:abstractNumId w:val="29"/>
  </w:num>
  <w:num w:numId="283" w16cid:durableId="151600281">
    <w:abstractNumId w:val="34"/>
  </w:num>
  <w:num w:numId="284" w16cid:durableId="353462503">
    <w:abstractNumId w:val="183"/>
  </w:num>
  <w:num w:numId="285" w16cid:durableId="286744878">
    <w:abstractNumId w:val="171"/>
  </w:num>
  <w:num w:numId="286" w16cid:durableId="990595566">
    <w:abstractNumId w:val="34"/>
  </w:num>
  <w:num w:numId="287" w16cid:durableId="1157113808">
    <w:abstractNumId w:val="34"/>
  </w:num>
  <w:num w:numId="288" w16cid:durableId="634410276">
    <w:abstractNumId w:val="34"/>
  </w:num>
  <w:num w:numId="289" w16cid:durableId="1571693124">
    <w:abstractNumId w:val="16"/>
  </w:num>
  <w:num w:numId="290" w16cid:durableId="622079668">
    <w:abstractNumId w:val="180"/>
  </w:num>
  <w:num w:numId="291" w16cid:durableId="211619814">
    <w:abstractNumId w:val="134"/>
  </w:num>
  <w:num w:numId="292" w16cid:durableId="245765655">
    <w:abstractNumId w:val="72"/>
  </w:num>
  <w:num w:numId="293" w16cid:durableId="624847102">
    <w:abstractNumId w:val="159"/>
  </w:num>
  <w:num w:numId="294" w16cid:durableId="1167358422">
    <w:abstractNumId w:val="50"/>
  </w:num>
  <w:num w:numId="295" w16cid:durableId="1573080412">
    <w:abstractNumId w:val="146"/>
  </w:num>
  <w:num w:numId="296" w16cid:durableId="964702771">
    <w:abstractNumId w:val="99"/>
  </w:num>
  <w:num w:numId="297" w16cid:durableId="106580352">
    <w:abstractNumId w:val="12"/>
  </w:num>
  <w:num w:numId="298" w16cid:durableId="1425415422">
    <w:abstractNumId w:val="34"/>
  </w:num>
  <w:num w:numId="299" w16cid:durableId="1614897229">
    <w:abstractNumId w:val="34"/>
  </w:num>
  <w:num w:numId="300" w16cid:durableId="1970739723">
    <w:abstractNumId w:val="34"/>
  </w:num>
  <w:num w:numId="301" w16cid:durableId="2062246224">
    <w:abstractNumId w:val="178"/>
  </w:num>
  <w:num w:numId="302" w16cid:durableId="504786880">
    <w:abstractNumId w:val="7"/>
  </w:num>
  <w:num w:numId="303" w16cid:durableId="1801074463">
    <w:abstractNumId w:val="34"/>
  </w:num>
  <w:num w:numId="304" w16cid:durableId="1956250847">
    <w:abstractNumId w:val="115"/>
  </w:num>
  <w:num w:numId="305" w16cid:durableId="1313482696">
    <w:abstractNumId w:val="154"/>
  </w:num>
  <w:num w:numId="306" w16cid:durableId="1189370901">
    <w:abstractNumId w:val="182"/>
  </w:num>
  <w:num w:numId="307" w16cid:durableId="1689330301">
    <w:abstractNumId w:val="6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5"/>
  <w:displayBackgroundShape/>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efaultTableStyle w:val="IESTable"/>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4A8"/>
    <w:rsid w:val="000358F3"/>
    <w:rsid w:val="00035B4B"/>
    <w:rsid w:val="00042409"/>
    <w:rsid w:val="000509B3"/>
    <w:rsid w:val="00055656"/>
    <w:rsid w:val="00056E5E"/>
    <w:rsid w:val="000576A2"/>
    <w:rsid w:val="000A2ED4"/>
    <w:rsid w:val="000A3039"/>
    <w:rsid w:val="000A7076"/>
    <w:rsid w:val="000B03DF"/>
    <w:rsid w:val="000B63F3"/>
    <w:rsid w:val="000C653C"/>
    <w:rsid w:val="000D03F2"/>
    <w:rsid w:val="000D1715"/>
    <w:rsid w:val="000D43B8"/>
    <w:rsid w:val="000E04F2"/>
    <w:rsid w:val="000E0628"/>
    <w:rsid w:val="000E1C84"/>
    <w:rsid w:val="000E2949"/>
    <w:rsid w:val="000E3F9B"/>
    <w:rsid w:val="000E4644"/>
    <w:rsid w:val="000F5FAC"/>
    <w:rsid w:val="000F687F"/>
    <w:rsid w:val="000F68FC"/>
    <w:rsid w:val="00100E8A"/>
    <w:rsid w:val="0010497C"/>
    <w:rsid w:val="00111021"/>
    <w:rsid w:val="00112355"/>
    <w:rsid w:val="00113DE3"/>
    <w:rsid w:val="0011665E"/>
    <w:rsid w:val="00120052"/>
    <w:rsid w:val="001277A7"/>
    <w:rsid w:val="00130F4A"/>
    <w:rsid w:val="00140EC8"/>
    <w:rsid w:val="00142287"/>
    <w:rsid w:val="001515A8"/>
    <w:rsid w:val="00153DBE"/>
    <w:rsid w:val="00157F20"/>
    <w:rsid w:val="001613B0"/>
    <w:rsid w:val="00163514"/>
    <w:rsid w:val="00170FD1"/>
    <w:rsid w:val="00175D9E"/>
    <w:rsid w:val="0017614A"/>
    <w:rsid w:val="001843F5"/>
    <w:rsid w:val="00190F2C"/>
    <w:rsid w:val="00191666"/>
    <w:rsid w:val="001B7E90"/>
    <w:rsid w:val="001D268A"/>
    <w:rsid w:val="001D324A"/>
    <w:rsid w:val="001E0D0E"/>
    <w:rsid w:val="001E26B9"/>
    <w:rsid w:val="001E3CB2"/>
    <w:rsid w:val="001E4170"/>
    <w:rsid w:val="001F5D20"/>
    <w:rsid w:val="001F6DA6"/>
    <w:rsid w:val="00201014"/>
    <w:rsid w:val="0022387B"/>
    <w:rsid w:val="00227FE9"/>
    <w:rsid w:val="0023668B"/>
    <w:rsid w:val="002372E1"/>
    <w:rsid w:val="002477CD"/>
    <w:rsid w:val="00251231"/>
    <w:rsid w:val="00253006"/>
    <w:rsid w:val="00253ADE"/>
    <w:rsid w:val="00254117"/>
    <w:rsid w:val="00254149"/>
    <w:rsid w:val="00254A44"/>
    <w:rsid w:val="00257F0A"/>
    <w:rsid w:val="002601DE"/>
    <w:rsid w:val="00261FE5"/>
    <w:rsid w:val="00271A33"/>
    <w:rsid w:val="00275378"/>
    <w:rsid w:val="00276E73"/>
    <w:rsid w:val="00276F10"/>
    <w:rsid w:val="00281A36"/>
    <w:rsid w:val="00283714"/>
    <w:rsid w:val="00291DEC"/>
    <w:rsid w:val="002A5C0B"/>
    <w:rsid w:val="002B6C6E"/>
    <w:rsid w:val="002B755D"/>
    <w:rsid w:val="002C02E9"/>
    <w:rsid w:val="002C2C09"/>
    <w:rsid w:val="002C6CEB"/>
    <w:rsid w:val="002C7554"/>
    <w:rsid w:val="002C7B67"/>
    <w:rsid w:val="002D0251"/>
    <w:rsid w:val="002D243C"/>
    <w:rsid w:val="002D2ECD"/>
    <w:rsid w:val="002D75DB"/>
    <w:rsid w:val="002E1360"/>
    <w:rsid w:val="002E468D"/>
    <w:rsid w:val="002F09DF"/>
    <w:rsid w:val="002F547C"/>
    <w:rsid w:val="003049FA"/>
    <w:rsid w:val="00307C4C"/>
    <w:rsid w:val="00312988"/>
    <w:rsid w:val="003175D9"/>
    <w:rsid w:val="00317AB7"/>
    <w:rsid w:val="00325CFF"/>
    <w:rsid w:val="00326D38"/>
    <w:rsid w:val="0033039D"/>
    <w:rsid w:val="00335013"/>
    <w:rsid w:val="00340492"/>
    <w:rsid w:val="00340DCB"/>
    <w:rsid w:val="0034431F"/>
    <w:rsid w:val="00352C9E"/>
    <w:rsid w:val="0035520A"/>
    <w:rsid w:val="00355BD2"/>
    <w:rsid w:val="00356A58"/>
    <w:rsid w:val="00357C79"/>
    <w:rsid w:val="00360292"/>
    <w:rsid w:val="00361A52"/>
    <w:rsid w:val="0036620D"/>
    <w:rsid w:val="003724A8"/>
    <w:rsid w:val="003749FE"/>
    <w:rsid w:val="00376D13"/>
    <w:rsid w:val="003822CE"/>
    <w:rsid w:val="003876B7"/>
    <w:rsid w:val="00391026"/>
    <w:rsid w:val="00391542"/>
    <w:rsid w:val="00391F5D"/>
    <w:rsid w:val="00393438"/>
    <w:rsid w:val="003943A2"/>
    <w:rsid w:val="00397327"/>
    <w:rsid w:val="003A45C4"/>
    <w:rsid w:val="003D17FD"/>
    <w:rsid w:val="003D2591"/>
    <w:rsid w:val="003D5A15"/>
    <w:rsid w:val="003E7D09"/>
    <w:rsid w:val="00401377"/>
    <w:rsid w:val="00417A14"/>
    <w:rsid w:val="004348DB"/>
    <w:rsid w:val="00443215"/>
    <w:rsid w:val="0044390F"/>
    <w:rsid w:val="004452BE"/>
    <w:rsid w:val="00446CC0"/>
    <w:rsid w:val="00446FD0"/>
    <w:rsid w:val="00451273"/>
    <w:rsid w:val="00455A37"/>
    <w:rsid w:val="00472B4B"/>
    <w:rsid w:val="004835F2"/>
    <w:rsid w:val="00492B9E"/>
    <w:rsid w:val="00493342"/>
    <w:rsid w:val="004A785D"/>
    <w:rsid w:val="004C0162"/>
    <w:rsid w:val="004C1DEC"/>
    <w:rsid w:val="004C69C1"/>
    <w:rsid w:val="004C796D"/>
    <w:rsid w:val="004C7EF4"/>
    <w:rsid w:val="004D14C3"/>
    <w:rsid w:val="004D24C2"/>
    <w:rsid w:val="004D2737"/>
    <w:rsid w:val="004D5322"/>
    <w:rsid w:val="004D7B3C"/>
    <w:rsid w:val="004E5BAB"/>
    <w:rsid w:val="005016B9"/>
    <w:rsid w:val="00502618"/>
    <w:rsid w:val="00505B25"/>
    <w:rsid w:val="00512222"/>
    <w:rsid w:val="005233D5"/>
    <w:rsid w:val="005369E2"/>
    <w:rsid w:val="0054035A"/>
    <w:rsid w:val="00540E33"/>
    <w:rsid w:val="0054174A"/>
    <w:rsid w:val="005462A8"/>
    <w:rsid w:val="00546C80"/>
    <w:rsid w:val="00552470"/>
    <w:rsid w:val="0056164E"/>
    <w:rsid w:val="00570CAD"/>
    <w:rsid w:val="005714C4"/>
    <w:rsid w:val="0057665C"/>
    <w:rsid w:val="005961C3"/>
    <w:rsid w:val="00597CD7"/>
    <w:rsid w:val="005A38AF"/>
    <w:rsid w:val="005A53EE"/>
    <w:rsid w:val="005A6C9D"/>
    <w:rsid w:val="005B4472"/>
    <w:rsid w:val="005B64A2"/>
    <w:rsid w:val="005C163D"/>
    <w:rsid w:val="005D2C5B"/>
    <w:rsid w:val="005D35FB"/>
    <w:rsid w:val="005D4070"/>
    <w:rsid w:val="005D6250"/>
    <w:rsid w:val="005E62F6"/>
    <w:rsid w:val="005F1C25"/>
    <w:rsid w:val="005F4D8A"/>
    <w:rsid w:val="005F671C"/>
    <w:rsid w:val="006016FC"/>
    <w:rsid w:val="00605637"/>
    <w:rsid w:val="00610115"/>
    <w:rsid w:val="00611FC4"/>
    <w:rsid w:val="00612670"/>
    <w:rsid w:val="0061282E"/>
    <w:rsid w:val="00620659"/>
    <w:rsid w:val="00620C0F"/>
    <w:rsid w:val="006273CF"/>
    <w:rsid w:val="006274C4"/>
    <w:rsid w:val="006321EF"/>
    <w:rsid w:val="00636A09"/>
    <w:rsid w:val="00642BAC"/>
    <w:rsid w:val="006642FB"/>
    <w:rsid w:val="0067110D"/>
    <w:rsid w:val="00683712"/>
    <w:rsid w:val="006857EA"/>
    <w:rsid w:val="006950DD"/>
    <w:rsid w:val="006A3A97"/>
    <w:rsid w:val="006C0FEE"/>
    <w:rsid w:val="006C1B04"/>
    <w:rsid w:val="006C3579"/>
    <w:rsid w:val="006C3EDB"/>
    <w:rsid w:val="006C5CC9"/>
    <w:rsid w:val="006C5E84"/>
    <w:rsid w:val="006D16FE"/>
    <w:rsid w:val="006D2ACA"/>
    <w:rsid w:val="006D3B28"/>
    <w:rsid w:val="006F1D10"/>
    <w:rsid w:val="006F42F8"/>
    <w:rsid w:val="00702666"/>
    <w:rsid w:val="00713208"/>
    <w:rsid w:val="007226F8"/>
    <w:rsid w:val="00722711"/>
    <w:rsid w:val="00732E6E"/>
    <w:rsid w:val="00736046"/>
    <w:rsid w:val="00736936"/>
    <w:rsid w:val="00755024"/>
    <w:rsid w:val="007717EA"/>
    <w:rsid w:val="007859A1"/>
    <w:rsid w:val="00786BD4"/>
    <w:rsid w:val="007A5C5F"/>
    <w:rsid w:val="007C3C24"/>
    <w:rsid w:val="007C53DE"/>
    <w:rsid w:val="007C55D8"/>
    <w:rsid w:val="007C70BB"/>
    <w:rsid w:val="007C7787"/>
    <w:rsid w:val="007D2C89"/>
    <w:rsid w:val="007D4E95"/>
    <w:rsid w:val="007F7DBD"/>
    <w:rsid w:val="00800BF7"/>
    <w:rsid w:val="0080552F"/>
    <w:rsid w:val="00815F99"/>
    <w:rsid w:val="00821666"/>
    <w:rsid w:val="0082683E"/>
    <w:rsid w:val="00837891"/>
    <w:rsid w:val="00840A16"/>
    <w:rsid w:val="00840F13"/>
    <w:rsid w:val="00853E1F"/>
    <w:rsid w:val="00857983"/>
    <w:rsid w:val="0086382E"/>
    <w:rsid w:val="0087048E"/>
    <w:rsid w:val="0087125D"/>
    <w:rsid w:val="00884411"/>
    <w:rsid w:val="0089398C"/>
    <w:rsid w:val="008B0BC2"/>
    <w:rsid w:val="008B0C50"/>
    <w:rsid w:val="008E263C"/>
    <w:rsid w:val="008E5074"/>
    <w:rsid w:val="008F1B97"/>
    <w:rsid w:val="00904E1A"/>
    <w:rsid w:val="009152BD"/>
    <w:rsid w:val="00916122"/>
    <w:rsid w:val="00921712"/>
    <w:rsid w:val="00923F31"/>
    <w:rsid w:val="0092759D"/>
    <w:rsid w:val="009349DB"/>
    <w:rsid w:val="0093541C"/>
    <w:rsid w:val="00936F65"/>
    <w:rsid w:val="0095181E"/>
    <w:rsid w:val="009550D4"/>
    <w:rsid w:val="00957508"/>
    <w:rsid w:val="00957CC3"/>
    <w:rsid w:val="0097359D"/>
    <w:rsid w:val="00981E98"/>
    <w:rsid w:val="009829DA"/>
    <w:rsid w:val="009844F7"/>
    <w:rsid w:val="00991B7F"/>
    <w:rsid w:val="00993D6C"/>
    <w:rsid w:val="00996BAA"/>
    <w:rsid w:val="009A3921"/>
    <w:rsid w:val="009A5829"/>
    <w:rsid w:val="009C1D21"/>
    <w:rsid w:val="009C2EF1"/>
    <w:rsid w:val="009D22EB"/>
    <w:rsid w:val="009E288E"/>
    <w:rsid w:val="009E2B5C"/>
    <w:rsid w:val="009E7572"/>
    <w:rsid w:val="009F1EDC"/>
    <w:rsid w:val="009F2960"/>
    <w:rsid w:val="00A17DD8"/>
    <w:rsid w:val="00A20721"/>
    <w:rsid w:val="00A213D5"/>
    <w:rsid w:val="00A33CF5"/>
    <w:rsid w:val="00A3584E"/>
    <w:rsid w:val="00A62EBA"/>
    <w:rsid w:val="00A6714C"/>
    <w:rsid w:val="00A81C24"/>
    <w:rsid w:val="00A83B69"/>
    <w:rsid w:val="00A854A0"/>
    <w:rsid w:val="00A87C80"/>
    <w:rsid w:val="00A93150"/>
    <w:rsid w:val="00AA1D1C"/>
    <w:rsid w:val="00AA471E"/>
    <w:rsid w:val="00AB05AD"/>
    <w:rsid w:val="00AB0F6F"/>
    <w:rsid w:val="00AB3DFD"/>
    <w:rsid w:val="00AB6FD5"/>
    <w:rsid w:val="00AC51F5"/>
    <w:rsid w:val="00AC6846"/>
    <w:rsid w:val="00AC731F"/>
    <w:rsid w:val="00AD0F94"/>
    <w:rsid w:val="00AD1FA2"/>
    <w:rsid w:val="00AE2DE6"/>
    <w:rsid w:val="00AF04EE"/>
    <w:rsid w:val="00AF5CC9"/>
    <w:rsid w:val="00B00404"/>
    <w:rsid w:val="00B02051"/>
    <w:rsid w:val="00B1378D"/>
    <w:rsid w:val="00B2500C"/>
    <w:rsid w:val="00B31C66"/>
    <w:rsid w:val="00B32C46"/>
    <w:rsid w:val="00B33E62"/>
    <w:rsid w:val="00B47DDA"/>
    <w:rsid w:val="00B50F87"/>
    <w:rsid w:val="00B56A32"/>
    <w:rsid w:val="00B728B4"/>
    <w:rsid w:val="00B83E53"/>
    <w:rsid w:val="00BA091B"/>
    <w:rsid w:val="00BB1E3D"/>
    <w:rsid w:val="00BB5E24"/>
    <w:rsid w:val="00BB7834"/>
    <w:rsid w:val="00BC3B53"/>
    <w:rsid w:val="00BC5CA6"/>
    <w:rsid w:val="00BC5F02"/>
    <w:rsid w:val="00C01D76"/>
    <w:rsid w:val="00C067E7"/>
    <w:rsid w:val="00C22642"/>
    <w:rsid w:val="00C26EF8"/>
    <w:rsid w:val="00C30F4F"/>
    <w:rsid w:val="00C40167"/>
    <w:rsid w:val="00C411CF"/>
    <w:rsid w:val="00C413BE"/>
    <w:rsid w:val="00C45F72"/>
    <w:rsid w:val="00C52F63"/>
    <w:rsid w:val="00C63A0D"/>
    <w:rsid w:val="00C67713"/>
    <w:rsid w:val="00C86E43"/>
    <w:rsid w:val="00C900FD"/>
    <w:rsid w:val="00C9232B"/>
    <w:rsid w:val="00CA331C"/>
    <w:rsid w:val="00CB2B78"/>
    <w:rsid w:val="00CB2C17"/>
    <w:rsid w:val="00CB590A"/>
    <w:rsid w:val="00CC4596"/>
    <w:rsid w:val="00CD60E5"/>
    <w:rsid w:val="00CE5E7F"/>
    <w:rsid w:val="00CF0EA3"/>
    <w:rsid w:val="00D03036"/>
    <w:rsid w:val="00D07218"/>
    <w:rsid w:val="00D16300"/>
    <w:rsid w:val="00D238FB"/>
    <w:rsid w:val="00D24919"/>
    <w:rsid w:val="00D25A87"/>
    <w:rsid w:val="00D3434F"/>
    <w:rsid w:val="00D43F96"/>
    <w:rsid w:val="00D47607"/>
    <w:rsid w:val="00D5027C"/>
    <w:rsid w:val="00D53096"/>
    <w:rsid w:val="00D5326F"/>
    <w:rsid w:val="00D54A64"/>
    <w:rsid w:val="00D55883"/>
    <w:rsid w:val="00D65167"/>
    <w:rsid w:val="00D67E04"/>
    <w:rsid w:val="00D70874"/>
    <w:rsid w:val="00D70988"/>
    <w:rsid w:val="00D715F2"/>
    <w:rsid w:val="00D7184E"/>
    <w:rsid w:val="00D7559E"/>
    <w:rsid w:val="00D77780"/>
    <w:rsid w:val="00D82080"/>
    <w:rsid w:val="00D84D3D"/>
    <w:rsid w:val="00D9286A"/>
    <w:rsid w:val="00DA0A1E"/>
    <w:rsid w:val="00DB1822"/>
    <w:rsid w:val="00DB48AC"/>
    <w:rsid w:val="00DB5929"/>
    <w:rsid w:val="00DC6139"/>
    <w:rsid w:val="00DD0F58"/>
    <w:rsid w:val="00DD5E73"/>
    <w:rsid w:val="00DE11D6"/>
    <w:rsid w:val="00DE2C7B"/>
    <w:rsid w:val="00DE4B04"/>
    <w:rsid w:val="00DE51FE"/>
    <w:rsid w:val="00DF1C48"/>
    <w:rsid w:val="00DF3B19"/>
    <w:rsid w:val="00DF475C"/>
    <w:rsid w:val="00DF4E23"/>
    <w:rsid w:val="00E00949"/>
    <w:rsid w:val="00E01C73"/>
    <w:rsid w:val="00E142FA"/>
    <w:rsid w:val="00E16071"/>
    <w:rsid w:val="00E23025"/>
    <w:rsid w:val="00E27D01"/>
    <w:rsid w:val="00E307F7"/>
    <w:rsid w:val="00E37CD4"/>
    <w:rsid w:val="00E41934"/>
    <w:rsid w:val="00E43561"/>
    <w:rsid w:val="00E443A3"/>
    <w:rsid w:val="00E53864"/>
    <w:rsid w:val="00E56BB7"/>
    <w:rsid w:val="00E612E2"/>
    <w:rsid w:val="00E71E02"/>
    <w:rsid w:val="00E7208E"/>
    <w:rsid w:val="00E72CF4"/>
    <w:rsid w:val="00E83F92"/>
    <w:rsid w:val="00E94BD1"/>
    <w:rsid w:val="00E9553E"/>
    <w:rsid w:val="00E97D99"/>
    <w:rsid w:val="00EA17A2"/>
    <w:rsid w:val="00EA79BF"/>
    <w:rsid w:val="00EB4AC9"/>
    <w:rsid w:val="00EC1F2C"/>
    <w:rsid w:val="00EC302A"/>
    <w:rsid w:val="00EC3DC8"/>
    <w:rsid w:val="00EC57B7"/>
    <w:rsid w:val="00ED0856"/>
    <w:rsid w:val="00ED60BB"/>
    <w:rsid w:val="00EE66D8"/>
    <w:rsid w:val="00EE67CC"/>
    <w:rsid w:val="00EF1622"/>
    <w:rsid w:val="00F15A41"/>
    <w:rsid w:val="00F16ED7"/>
    <w:rsid w:val="00F22459"/>
    <w:rsid w:val="00F35FC4"/>
    <w:rsid w:val="00F40418"/>
    <w:rsid w:val="00F468BF"/>
    <w:rsid w:val="00F66632"/>
    <w:rsid w:val="00F67347"/>
    <w:rsid w:val="00F72E2B"/>
    <w:rsid w:val="00F73416"/>
    <w:rsid w:val="00F745E7"/>
    <w:rsid w:val="00F82055"/>
    <w:rsid w:val="00F82264"/>
    <w:rsid w:val="00F92374"/>
    <w:rsid w:val="00FA0600"/>
    <w:rsid w:val="00FA0FBE"/>
    <w:rsid w:val="00FA602C"/>
    <w:rsid w:val="00FA7249"/>
    <w:rsid w:val="00FB7353"/>
    <w:rsid w:val="00FE48EB"/>
    <w:rsid w:val="00FF0027"/>
    <w:rsid w:val="00FF63F7"/>
    <w:rsid w:val="00FF7734"/>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026A65"/>
  <w15:chartTrackingRefBased/>
  <w15:docId w15:val="{842235E8-4310-7A4B-B617-38FF70AA5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CA"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C6E"/>
    <w:rPr>
      <w:rFonts w:ascii="Times New Roman" w:eastAsia="Times New Roman" w:hAnsi="Times New Roman" w:cs="Times New Roman"/>
      <w:lang w:val="en-US" w:eastAsia="en-US"/>
    </w:rPr>
  </w:style>
  <w:style w:type="paragraph" w:styleId="Heading1">
    <w:name w:val="heading 1"/>
    <w:next w:val="Normal"/>
    <w:link w:val="Heading1Char"/>
    <w:qFormat/>
    <w:rsid w:val="00443215"/>
    <w:pPr>
      <w:keepNext/>
      <w:keepLines/>
      <w:pageBreakBefore/>
      <w:pBdr>
        <w:top w:val="single" w:sz="4" w:space="6" w:color="3F9683"/>
        <w:left w:val="single" w:sz="4" w:space="4" w:color="3F9683"/>
        <w:bottom w:val="single" w:sz="4" w:space="6" w:color="3F9683"/>
        <w:right w:val="single" w:sz="4" w:space="4" w:color="3F9683"/>
      </w:pBdr>
      <w:shd w:val="solid" w:color="3F9683" w:fill="3F9683"/>
      <w:autoSpaceDE w:val="0"/>
      <w:autoSpaceDN w:val="0"/>
      <w:spacing w:after="240"/>
      <w:ind w:left="-1152" w:firstLine="1152"/>
      <w:jc w:val="right"/>
      <w:outlineLvl w:val="0"/>
    </w:pPr>
    <w:rPr>
      <w:rFonts w:ascii="Gill Sans Light" w:eastAsia="Arial Unicode MS" w:hAnsi="Gill Sans Light" w:cs="Gill Sans Light"/>
      <w:caps/>
      <w:color w:val="FFFFFF" w:themeColor="background1"/>
      <w:sz w:val="40"/>
      <w:szCs w:val="40"/>
      <w:bdr w:val="nil"/>
      <w:lang w:val="en-US" w:eastAsia="en-US"/>
    </w:rPr>
  </w:style>
  <w:style w:type="paragraph" w:styleId="Heading2">
    <w:name w:val="heading 2"/>
    <w:basedOn w:val="Heading1"/>
    <w:next w:val="Normal"/>
    <w:link w:val="Heading2Char"/>
    <w:uiPriority w:val="9"/>
    <w:unhideWhenUsed/>
    <w:qFormat/>
    <w:rsid w:val="00443215"/>
    <w:pPr>
      <w:pageBreakBefore w:val="0"/>
      <w:pBdr>
        <w:top w:val="none" w:sz="0" w:space="0" w:color="auto"/>
        <w:left w:val="none" w:sz="0" w:space="0" w:color="auto"/>
        <w:bottom w:val="single" w:sz="8" w:space="4" w:color="3F9683"/>
        <w:right w:val="none" w:sz="0" w:space="0" w:color="auto"/>
      </w:pBdr>
      <w:shd w:val="clear" w:color="auto" w:fill="auto"/>
      <w:spacing w:before="240"/>
      <w:ind w:left="0" w:firstLine="0"/>
      <w:jc w:val="left"/>
      <w:outlineLvl w:val="1"/>
    </w:pPr>
    <w:rPr>
      <w:rFonts w:eastAsia="DengXian Light"/>
      <w:color w:val="E26717"/>
      <w:sz w:val="32"/>
      <w:szCs w:val="28"/>
    </w:rPr>
  </w:style>
  <w:style w:type="paragraph" w:styleId="Heading3">
    <w:name w:val="heading 3"/>
    <w:basedOn w:val="Normal"/>
    <w:next w:val="Normal"/>
    <w:link w:val="Heading3Char"/>
    <w:uiPriority w:val="9"/>
    <w:unhideWhenUsed/>
    <w:qFormat/>
    <w:rsid w:val="00F745E7"/>
    <w:pPr>
      <w:keepNext/>
      <w:keepLines/>
      <w:spacing w:before="240"/>
      <w:outlineLvl w:val="2"/>
    </w:pPr>
    <w:rPr>
      <w:rFonts w:ascii="Gill Sans" w:eastAsia="DengXian Light" w:hAnsi="Gill Sans" w:cs="Gill Sans"/>
      <w:caps/>
      <w:color w:val="E26717"/>
      <w:sz w:val="28"/>
      <w:szCs w:val="28"/>
    </w:rPr>
  </w:style>
  <w:style w:type="paragraph" w:styleId="Heading4">
    <w:name w:val="heading 4"/>
    <w:basedOn w:val="Heading3"/>
    <w:next w:val="Normal"/>
    <w:link w:val="Heading4Char"/>
    <w:unhideWhenUsed/>
    <w:qFormat/>
    <w:rsid w:val="00F745E7"/>
    <w:pPr>
      <w:outlineLvl w:val="3"/>
    </w:pPr>
    <w:rPr>
      <w:rFonts w:ascii="Gill Sans Light" w:hAnsi="Gill Sans Light" w:cs="Gill Sans Light"/>
      <w:color w:val="000000" w:themeColor="text1"/>
      <w:sz w:val="24"/>
      <w:szCs w:val="24"/>
    </w:rPr>
  </w:style>
  <w:style w:type="paragraph" w:styleId="Heading5">
    <w:name w:val="heading 5"/>
    <w:basedOn w:val="Normal"/>
    <w:next w:val="Normal"/>
    <w:link w:val="Heading5Char"/>
    <w:unhideWhenUsed/>
    <w:qFormat/>
    <w:rsid w:val="00F745E7"/>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EA79B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79B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79B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79B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ment">
    <w:name w:val="Comment"/>
    <w:basedOn w:val="Normal"/>
    <w:qFormat/>
    <w:rsid w:val="00DE2C7B"/>
    <w:pPr>
      <w:spacing w:after="160" w:line="259" w:lineRule="auto"/>
      <w:jc w:val="both"/>
    </w:pPr>
    <w:rPr>
      <w:rFonts w:ascii="Avenir Book" w:hAnsi="Avenir Book" w:cs="Arial (Body CS)"/>
      <w:i/>
      <w:iCs/>
      <w:noProof/>
      <w:kern w:val="20"/>
      <w:sz w:val="20"/>
      <w:szCs w:val="20"/>
    </w:rPr>
  </w:style>
  <w:style w:type="paragraph" w:styleId="FootnoteText">
    <w:name w:val="footnote text"/>
    <w:aliases w:val="Geneva 9 Char,Font: Geneva 9 Char,Boston 10 Char,f Char,Footnote Text Char Char Char Char Char Char Char,Footnote Text Char Char Char Char1 Char,Footnote Text Char Char Char Char Char1 Char,single space,Texto nota pie Car Car Car,FOOTNOTES"/>
    <w:basedOn w:val="Normal"/>
    <w:link w:val="FootnoteTextChar"/>
    <w:uiPriority w:val="99"/>
    <w:qFormat/>
    <w:rsid w:val="00F745E7"/>
    <w:rPr>
      <w:rFonts w:eastAsia="AppleGothic"/>
      <w:snapToGrid w:val="0"/>
      <w:sz w:val="18"/>
      <w:szCs w:val="18"/>
    </w:rPr>
  </w:style>
  <w:style w:type="character" w:customStyle="1" w:styleId="FootnoteTextChar">
    <w:name w:val="Footnote Text Char"/>
    <w:aliases w:val="Geneva 9 Char Char1,Font: Geneva 9 Char Char1,Boston 10 Char Char1,f Char Char1,Footnote Text Char Char Char Char Char Char Char Char1,Footnote Text Char Char Char Char1 Char Char1,Footnote Text Char Char Char Char Char1 Char Char1"/>
    <w:basedOn w:val="DefaultParagraphFont"/>
    <w:link w:val="FootnoteText"/>
    <w:uiPriority w:val="99"/>
    <w:rsid w:val="00F745E7"/>
    <w:rPr>
      <w:rFonts w:ascii="Calibri Light" w:eastAsia="AppleGothic" w:hAnsi="Calibri Light" w:cs="Calibri Light"/>
      <w:snapToGrid w:val="0"/>
      <w:sz w:val="18"/>
      <w:szCs w:val="18"/>
      <w:lang w:val="en-GB" w:eastAsia="en-US"/>
    </w:rPr>
  </w:style>
  <w:style w:type="paragraph" w:styleId="BalloonText">
    <w:name w:val="Balloon Text"/>
    <w:basedOn w:val="Normal"/>
    <w:link w:val="BalloonTextChar"/>
    <w:semiHidden/>
    <w:rsid w:val="00F745E7"/>
    <w:rPr>
      <w:rFonts w:ascii="Tahoma" w:hAnsi="Tahoma" w:cs="Tahoma"/>
      <w:sz w:val="16"/>
      <w:szCs w:val="16"/>
    </w:rPr>
  </w:style>
  <w:style w:type="character" w:customStyle="1" w:styleId="BalloonTextChar">
    <w:name w:val="Balloon Text Char"/>
    <w:basedOn w:val="DefaultParagraphFont"/>
    <w:link w:val="BalloonText"/>
    <w:semiHidden/>
    <w:rsid w:val="00F745E7"/>
    <w:rPr>
      <w:rFonts w:ascii="Tahoma" w:eastAsia="SimSun" w:hAnsi="Tahoma" w:cs="Tahoma"/>
      <w:sz w:val="16"/>
      <w:szCs w:val="16"/>
      <w:lang w:val="en-GB" w:eastAsia="zh-CN"/>
    </w:rPr>
  </w:style>
  <w:style w:type="character" w:styleId="CommentReference">
    <w:name w:val="annotation reference"/>
    <w:semiHidden/>
    <w:rsid w:val="00F745E7"/>
    <w:rPr>
      <w:sz w:val="16"/>
      <w:szCs w:val="16"/>
    </w:rPr>
  </w:style>
  <w:style w:type="paragraph" w:styleId="CommentText">
    <w:name w:val="annotation text"/>
    <w:basedOn w:val="Normal"/>
    <w:link w:val="CommentTextChar"/>
    <w:semiHidden/>
    <w:rsid w:val="00F745E7"/>
    <w:rPr>
      <w:sz w:val="20"/>
      <w:szCs w:val="20"/>
    </w:rPr>
  </w:style>
  <w:style w:type="character" w:customStyle="1" w:styleId="CommentTextChar">
    <w:name w:val="Comment Text Char"/>
    <w:basedOn w:val="DefaultParagraphFont"/>
    <w:link w:val="CommentText"/>
    <w:semiHidden/>
    <w:rsid w:val="00F745E7"/>
    <w:rPr>
      <w:rFonts w:ascii="Calibri Light" w:eastAsia="SimSun" w:hAnsi="Calibri Light" w:cs="Calibri Light"/>
      <w:sz w:val="20"/>
      <w:szCs w:val="20"/>
      <w:lang w:val="en-GB" w:eastAsia="zh-CN"/>
    </w:rPr>
  </w:style>
  <w:style w:type="paragraph" w:styleId="CommentSubject">
    <w:name w:val="annotation subject"/>
    <w:basedOn w:val="CommentText"/>
    <w:next w:val="CommentText"/>
    <w:link w:val="CommentSubjectChar"/>
    <w:semiHidden/>
    <w:rsid w:val="00F745E7"/>
    <w:rPr>
      <w:b/>
      <w:bCs/>
    </w:rPr>
  </w:style>
  <w:style w:type="character" w:customStyle="1" w:styleId="CommentSubjectChar">
    <w:name w:val="Comment Subject Char"/>
    <w:basedOn w:val="CommentTextChar"/>
    <w:link w:val="CommentSubject"/>
    <w:semiHidden/>
    <w:rsid w:val="00F745E7"/>
    <w:rPr>
      <w:rFonts w:ascii="Calibri Light" w:eastAsia="SimSun" w:hAnsi="Calibri Light" w:cs="Calibri Light"/>
      <w:b/>
      <w:bCs/>
      <w:sz w:val="20"/>
      <w:szCs w:val="20"/>
      <w:lang w:val="en-GB" w:eastAsia="zh-CN"/>
    </w:rPr>
  </w:style>
  <w:style w:type="character" w:styleId="Emphasis">
    <w:name w:val="Emphasis"/>
    <w:uiPriority w:val="20"/>
    <w:qFormat/>
    <w:rsid w:val="00F745E7"/>
    <w:rPr>
      <w:rFonts w:ascii="Calibri" w:hAnsi="Calibri" w:cs="Calibri"/>
      <w:b/>
      <w:bCs/>
    </w:rPr>
  </w:style>
  <w:style w:type="character" w:styleId="EndnoteReference">
    <w:name w:val="endnote reference"/>
    <w:semiHidden/>
    <w:unhideWhenUsed/>
    <w:rsid w:val="00F745E7"/>
    <w:rPr>
      <w:vertAlign w:val="superscript"/>
    </w:rPr>
  </w:style>
  <w:style w:type="paragraph" w:styleId="EndnoteText">
    <w:name w:val="endnote text"/>
    <w:basedOn w:val="Normal"/>
    <w:link w:val="EndnoteTextChar"/>
    <w:semiHidden/>
    <w:unhideWhenUsed/>
    <w:rsid w:val="00F745E7"/>
    <w:rPr>
      <w:sz w:val="20"/>
      <w:szCs w:val="20"/>
    </w:rPr>
  </w:style>
  <w:style w:type="character" w:customStyle="1" w:styleId="EndnoteTextChar">
    <w:name w:val="Endnote Text Char"/>
    <w:link w:val="EndnoteText"/>
    <w:semiHidden/>
    <w:rsid w:val="00F745E7"/>
    <w:rPr>
      <w:rFonts w:ascii="Calibri Light" w:eastAsia="SimSun" w:hAnsi="Calibri Light" w:cs="Calibri Light"/>
      <w:sz w:val="20"/>
      <w:szCs w:val="20"/>
      <w:lang w:val="en-GB" w:eastAsia="zh-CN"/>
    </w:rPr>
  </w:style>
  <w:style w:type="paragraph" w:styleId="Footer">
    <w:name w:val="footer"/>
    <w:link w:val="FooterChar"/>
    <w:uiPriority w:val="99"/>
    <w:qFormat/>
    <w:rsid w:val="00F745E7"/>
    <w:pPr>
      <w:tabs>
        <w:tab w:val="right" w:pos="10080"/>
      </w:tabs>
      <w:suppressAutoHyphens/>
      <w:jc w:val="right"/>
    </w:pPr>
    <w:rPr>
      <w:rFonts w:ascii="Gill Sans Light" w:eastAsiaTheme="minorHAnsi" w:hAnsi="Gill Sans Light" w:cs="Gill Sans Light"/>
      <w:caps/>
      <w:color w:val="5E5E5E"/>
      <w:sz w:val="22"/>
      <w:szCs w:val="22"/>
      <w:lang w:val="en-GB" w:eastAsia="en-US"/>
    </w:rPr>
  </w:style>
  <w:style w:type="character" w:customStyle="1" w:styleId="FooterChar">
    <w:name w:val="Footer Char"/>
    <w:basedOn w:val="DefaultParagraphFont"/>
    <w:link w:val="Footer"/>
    <w:uiPriority w:val="99"/>
    <w:rsid w:val="00F745E7"/>
    <w:rPr>
      <w:rFonts w:ascii="Gill Sans Light" w:eastAsiaTheme="minorHAnsi" w:hAnsi="Gill Sans Light" w:cs="Gill Sans Light"/>
      <w:caps/>
      <w:color w:val="5E5E5E"/>
      <w:sz w:val="22"/>
      <w:szCs w:val="22"/>
      <w:lang w:val="en-GB" w:eastAsia="en-US"/>
    </w:rPr>
  </w:style>
  <w:style w:type="character" w:styleId="FootnoteReference">
    <w:name w:val="footnote reference"/>
    <w:aliases w:val="ftref,16 Point,Superscript 6 Point,Char Char,Carattere Char1,Carattere Char Char Carattere Carattere Char Char,fr,Footnote Reference Number,Footnote Reference1,(NECG) Footnote Reference,BVI fnr,Ref,de nota al pie,BVI fnr Car Car"/>
    <w:uiPriority w:val="99"/>
    <w:qFormat/>
    <w:rsid w:val="00F745E7"/>
    <w:rPr>
      <w:vertAlign w:val="superscript"/>
    </w:rPr>
  </w:style>
  <w:style w:type="table" w:styleId="GridTable1Light-Accent3">
    <w:name w:val="Grid Table 1 Light Accent 3"/>
    <w:basedOn w:val="TableNormal"/>
    <w:uiPriority w:val="46"/>
    <w:rsid w:val="00F745E7"/>
    <w:rPr>
      <w:rFonts w:ascii="Times New Roman" w:eastAsia="Times New Roman" w:hAnsi="Times New Roman" w:cs="Times New Roman"/>
      <w:sz w:val="20"/>
      <w:szCs w:val="20"/>
      <w:lang w:val="en-GB" w:eastAsia="zh-CN"/>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F745E7"/>
    <w:rPr>
      <w:rFonts w:ascii="Times New Roman" w:eastAsia="Times New Roman" w:hAnsi="Times New Roman" w:cs="Times New Roman"/>
      <w:sz w:val="20"/>
      <w:szCs w:val="20"/>
      <w:lang w:val="en-GB" w:eastAsia="zh-CN"/>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Header">
    <w:name w:val="header"/>
    <w:basedOn w:val="Normal"/>
    <w:link w:val="HeaderChar"/>
    <w:rsid w:val="00F745E7"/>
    <w:pPr>
      <w:widowControl w:val="0"/>
      <w:pBdr>
        <w:top w:val="nil"/>
        <w:left w:val="nil"/>
        <w:bottom w:val="nil"/>
        <w:right w:val="nil"/>
        <w:between w:val="nil"/>
        <w:bar w:val="nil"/>
      </w:pBd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jc w:val="center"/>
    </w:pPr>
    <w:rPr>
      <w:rFonts w:ascii="Gill Sans Light" w:eastAsia="Arial Unicode MS" w:hAnsi="Gill Sans Light" w:cs="Gill Sans Light"/>
      <w:caps/>
      <w:color w:val="595959" w:themeColor="text1" w:themeTint="A6"/>
      <w:u w:color="000000"/>
      <w:bdr w:val="nil"/>
      <w14:textOutline w14:w="0" w14:cap="flat" w14:cmpd="sng" w14:algn="ctr">
        <w14:noFill/>
        <w14:prstDash w14:val="solid"/>
        <w14:bevel/>
      </w14:textOutline>
    </w:rPr>
  </w:style>
  <w:style w:type="character" w:customStyle="1" w:styleId="HeaderChar">
    <w:name w:val="Header Char"/>
    <w:basedOn w:val="DefaultParagraphFont"/>
    <w:link w:val="Header"/>
    <w:rsid w:val="00F745E7"/>
    <w:rPr>
      <w:rFonts w:ascii="Gill Sans Light" w:eastAsia="Arial Unicode MS" w:hAnsi="Gill Sans Light" w:cs="Gill Sans Light"/>
      <w:caps/>
      <w:color w:val="595959" w:themeColor="text1" w:themeTint="A6"/>
      <w:sz w:val="22"/>
      <w:szCs w:val="22"/>
      <w:u w:color="000000"/>
      <w:bdr w:val="nil"/>
      <w:lang w:val="en-US" w:eastAsia="en-US"/>
      <w14:textOutline w14:w="0" w14:cap="flat" w14:cmpd="sng" w14:algn="ctr">
        <w14:noFill/>
        <w14:prstDash w14:val="solid"/>
        <w14:bevel/>
      </w14:textOutline>
    </w:rPr>
  </w:style>
  <w:style w:type="character" w:customStyle="1" w:styleId="Heading1Char">
    <w:name w:val="Heading 1 Char"/>
    <w:link w:val="Heading1"/>
    <w:rsid w:val="00443215"/>
    <w:rPr>
      <w:rFonts w:ascii="Gill Sans Light" w:eastAsia="Arial Unicode MS" w:hAnsi="Gill Sans Light" w:cs="Gill Sans Light"/>
      <w:caps/>
      <w:color w:val="FFFFFF" w:themeColor="background1"/>
      <w:sz w:val="40"/>
      <w:szCs w:val="40"/>
      <w:bdr w:val="nil"/>
      <w:shd w:val="solid" w:color="3F9683" w:fill="3F9683"/>
      <w:lang w:val="en-US" w:eastAsia="en-US"/>
    </w:rPr>
  </w:style>
  <w:style w:type="character" w:customStyle="1" w:styleId="Heading2Char">
    <w:name w:val="Heading 2 Char"/>
    <w:link w:val="Heading2"/>
    <w:rsid w:val="00443215"/>
    <w:rPr>
      <w:rFonts w:ascii="Gill Sans Light" w:eastAsia="DengXian Light" w:hAnsi="Gill Sans Light" w:cs="Gill Sans Light"/>
      <w:caps/>
      <w:color w:val="E26717"/>
      <w:sz w:val="32"/>
      <w:szCs w:val="28"/>
      <w:bdr w:val="nil"/>
      <w:lang w:val="en-US" w:eastAsia="en-US"/>
    </w:rPr>
  </w:style>
  <w:style w:type="character" w:customStyle="1" w:styleId="Heading3Char">
    <w:name w:val="Heading 3 Char"/>
    <w:link w:val="Heading3"/>
    <w:uiPriority w:val="9"/>
    <w:rsid w:val="00F745E7"/>
    <w:rPr>
      <w:rFonts w:ascii="Gill Sans" w:eastAsia="DengXian Light" w:hAnsi="Gill Sans" w:cs="Gill Sans"/>
      <w:caps/>
      <w:color w:val="E26717"/>
      <w:sz w:val="28"/>
      <w:szCs w:val="28"/>
      <w:lang w:val="en-GB" w:eastAsia="en-US"/>
    </w:rPr>
  </w:style>
  <w:style w:type="character" w:customStyle="1" w:styleId="Heading4Char">
    <w:name w:val="Heading 4 Char"/>
    <w:basedOn w:val="DefaultParagraphFont"/>
    <w:link w:val="Heading4"/>
    <w:rsid w:val="00F745E7"/>
    <w:rPr>
      <w:rFonts w:ascii="Gill Sans Light" w:eastAsia="DengXian Light" w:hAnsi="Gill Sans Light" w:cs="Gill Sans Light"/>
      <w:caps/>
      <w:color w:val="000000" w:themeColor="text1"/>
      <w:lang w:val="en-GB" w:eastAsia="en-US"/>
    </w:rPr>
  </w:style>
  <w:style w:type="character" w:customStyle="1" w:styleId="Heading5Char">
    <w:name w:val="Heading 5 Char"/>
    <w:basedOn w:val="DefaultParagraphFont"/>
    <w:link w:val="Heading5"/>
    <w:rsid w:val="00F745E7"/>
    <w:rPr>
      <w:rFonts w:asciiTheme="majorHAnsi" w:eastAsiaTheme="majorEastAsia" w:hAnsiTheme="majorHAnsi" w:cstheme="majorBidi"/>
      <w:color w:val="2F5496" w:themeColor="accent1" w:themeShade="BF"/>
      <w:sz w:val="22"/>
      <w:szCs w:val="22"/>
      <w:lang w:val="en-GB" w:eastAsia="en-US"/>
    </w:rPr>
  </w:style>
  <w:style w:type="character" w:styleId="Hyperlink">
    <w:name w:val="Hyperlink"/>
    <w:uiPriority w:val="99"/>
    <w:rsid w:val="005F671C"/>
    <w:rPr>
      <w:color w:val="3F9683"/>
    </w:rPr>
  </w:style>
  <w:style w:type="table" w:customStyle="1" w:styleId="IESTable">
    <w:name w:val="IES Table"/>
    <w:basedOn w:val="TableNormal"/>
    <w:uiPriority w:val="99"/>
    <w:rsid w:val="00AC51F5"/>
    <w:rPr>
      <w:rFonts w:ascii="Calibri Light" w:eastAsia="Times New Roman" w:hAnsi="Calibri Light" w:cs="Times New Roman"/>
      <w:sz w:val="20"/>
      <w:szCs w:val="20"/>
      <w:lang w:val="en-GB" w:eastAsia="zh-CN"/>
    </w:rPr>
    <w:tblPr>
      <w:tblBorders>
        <w:top w:val="single" w:sz="4" w:space="0" w:color="214473"/>
        <w:left w:val="single" w:sz="4" w:space="0" w:color="214473"/>
        <w:bottom w:val="single" w:sz="4" w:space="0" w:color="214473"/>
        <w:right w:val="single" w:sz="4" w:space="0" w:color="214473"/>
        <w:insideH w:val="single" w:sz="4" w:space="0" w:color="214473"/>
        <w:insideV w:val="single" w:sz="4" w:space="0" w:color="214473"/>
      </w:tblBorders>
    </w:tblPr>
    <w:tcPr>
      <w:shd w:val="clear" w:color="auto" w:fill="auto"/>
    </w:tcPr>
    <w:tblStylePr w:type="firstRow">
      <w:rPr>
        <w:rFonts w:ascii="Calibri" w:hAnsi="Calibri"/>
        <w:b w:val="0"/>
        <w:i w:val="0"/>
        <w:color w:val="FFFFFF" w:themeColor="background1"/>
        <w:sz w:val="22"/>
      </w:rPr>
      <w:tblPr/>
      <w:tcPr>
        <w:shd w:val="clear" w:color="auto" w:fill="214473"/>
      </w:tcPr>
    </w:tblStylePr>
  </w:style>
  <w:style w:type="paragraph" w:customStyle="1" w:styleId="Instructions">
    <w:name w:val="Instructions"/>
    <w:qFormat/>
    <w:rsid w:val="002A5C0B"/>
    <w:pPr>
      <w:keepLines/>
      <w:widowControl w:val="0"/>
      <w:spacing w:after="120"/>
    </w:pPr>
    <w:rPr>
      <w:rFonts w:ascii="Calibri" w:eastAsia="Times New Roman" w:hAnsi="Calibri" w:cs="Calibri"/>
      <w:color w:val="000000" w:themeColor="text1"/>
      <w:sz w:val="20"/>
      <w:szCs w:val="20"/>
      <w:lang w:eastAsia="en-US"/>
    </w:rPr>
  </w:style>
  <w:style w:type="paragraph" w:styleId="ListParagraph">
    <w:name w:val="List Paragraph"/>
    <w:aliases w:val="List Paragraph (numbered (a)),Bullets,Bullet paras,123 List Paragraph,MCHIP_list paragraph,List Paragraph1,Recommendation,Dot pt,F5 List Paragraph,No Spacing1,List Paragraph Char Char Char,Indicator Text,Numbered Para 1,MAIN CONTENT,WB Pa"/>
    <w:basedOn w:val="Normal"/>
    <w:link w:val="ListParagraphChar"/>
    <w:uiPriority w:val="34"/>
    <w:qFormat/>
    <w:rsid w:val="00F745E7"/>
    <w:pPr>
      <w:numPr>
        <w:numId w:val="1"/>
      </w:numPr>
      <w:adjustRightInd w:val="0"/>
      <w:snapToGrid w:val="0"/>
      <w:spacing w:after="120"/>
      <w:contextualSpacing/>
    </w:pPr>
  </w:style>
  <w:style w:type="character" w:customStyle="1" w:styleId="NichtaufgelsteErwhnung1">
    <w:name w:val="Nicht aufgelöste Erwähnung1"/>
    <w:uiPriority w:val="99"/>
    <w:semiHidden/>
    <w:unhideWhenUsed/>
    <w:rsid w:val="00F745E7"/>
    <w:rPr>
      <w:color w:val="808080"/>
      <w:shd w:val="clear" w:color="auto" w:fill="E6E6E6"/>
    </w:rPr>
  </w:style>
  <w:style w:type="paragraph" w:customStyle="1" w:styleId="NormalCentered">
    <w:name w:val="Normal Centered"/>
    <w:basedOn w:val="Normal"/>
    <w:qFormat/>
    <w:rsid w:val="00F745E7"/>
    <w:pPr>
      <w:jc w:val="center"/>
    </w:pPr>
    <w:rPr>
      <w:rFonts w:eastAsia="Calibri"/>
    </w:rPr>
  </w:style>
  <w:style w:type="paragraph" w:customStyle="1" w:styleId="NormalTableHeader">
    <w:name w:val="Normal Table Header"/>
    <w:basedOn w:val="Normal"/>
    <w:qFormat/>
    <w:rsid w:val="00F745E7"/>
    <w:pPr>
      <w:keepLines/>
    </w:pPr>
    <w:rPr>
      <w:rFonts w:ascii="Calibri" w:hAnsi="Calibri" w:cs="Calibri"/>
      <w:bCs/>
      <w:color w:val="FFFFFF" w:themeColor="background1"/>
    </w:rPr>
  </w:style>
  <w:style w:type="paragraph" w:styleId="Title">
    <w:name w:val="Title"/>
    <w:basedOn w:val="Normal"/>
    <w:link w:val="TitleChar"/>
    <w:uiPriority w:val="10"/>
    <w:qFormat/>
    <w:rsid w:val="00D77780"/>
    <w:pPr>
      <w:jc w:val="center"/>
    </w:pPr>
    <w:rPr>
      <w:rFonts w:ascii="Gill Sans Light" w:hAnsi="Gill Sans Light" w:cs="Gill Sans Light"/>
      <w:caps/>
      <w:sz w:val="56"/>
      <w:szCs w:val="56"/>
    </w:rPr>
  </w:style>
  <w:style w:type="character" w:customStyle="1" w:styleId="TitleChar">
    <w:name w:val="Title Char"/>
    <w:link w:val="Title"/>
    <w:uiPriority w:val="10"/>
    <w:rsid w:val="00D77780"/>
    <w:rPr>
      <w:rFonts w:ascii="Gill Sans Light" w:eastAsia="Times New Roman" w:hAnsi="Gill Sans Light" w:cs="Gill Sans Light"/>
      <w:caps/>
      <w:sz w:val="56"/>
      <w:szCs w:val="56"/>
      <w:lang w:val="en-US" w:eastAsia="en-US"/>
    </w:rPr>
  </w:style>
  <w:style w:type="paragraph" w:styleId="Subtitle">
    <w:name w:val="Subtitle"/>
    <w:basedOn w:val="Title"/>
    <w:next w:val="Normal"/>
    <w:link w:val="SubtitleChar"/>
    <w:qFormat/>
    <w:rsid w:val="00D77780"/>
    <w:rPr>
      <w:sz w:val="44"/>
      <w:szCs w:val="44"/>
    </w:rPr>
  </w:style>
  <w:style w:type="character" w:customStyle="1" w:styleId="SubtitleChar">
    <w:name w:val="Subtitle Char"/>
    <w:link w:val="Subtitle"/>
    <w:rsid w:val="00D77780"/>
    <w:rPr>
      <w:rFonts w:ascii="Gill Sans Light" w:eastAsia="Times New Roman" w:hAnsi="Gill Sans Light" w:cs="Gill Sans Light"/>
      <w:caps/>
      <w:sz w:val="44"/>
      <w:szCs w:val="44"/>
      <w:lang w:val="en-US" w:eastAsia="en-US"/>
    </w:rPr>
  </w:style>
  <w:style w:type="table" w:styleId="TableGrid">
    <w:name w:val="Table Grid"/>
    <w:basedOn w:val="TableNormal"/>
    <w:uiPriority w:val="59"/>
    <w:rsid w:val="00F745E7"/>
    <w:rPr>
      <w:rFonts w:ascii="Times New Roman" w:eastAsia="Times New Roman" w:hAnsi="Times New Roman" w:cs="Times New Roman"/>
      <w:sz w:val="20"/>
      <w:szCs w:val="20"/>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Normal1">
    <w:name w:val="Table Normal1"/>
    <w:basedOn w:val="Normal"/>
    <w:qFormat/>
    <w:rsid w:val="002601DE"/>
    <w:rPr>
      <w:sz w:val="20"/>
      <w:szCs w:val="20"/>
    </w:rPr>
  </w:style>
  <w:style w:type="paragraph" w:styleId="TOC1">
    <w:name w:val="toc 1"/>
    <w:basedOn w:val="Normal"/>
    <w:next w:val="Normal"/>
    <w:autoRedefine/>
    <w:uiPriority w:val="39"/>
    <w:unhideWhenUsed/>
    <w:qFormat/>
    <w:rsid w:val="00F745E7"/>
    <w:pPr>
      <w:tabs>
        <w:tab w:val="right" w:leader="dot" w:pos="9926"/>
      </w:tabs>
      <w:spacing w:after="100"/>
    </w:pPr>
    <w:rPr>
      <w:caps/>
      <w:noProof/>
    </w:rPr>
  </w:style>
  <w:style w:type="paragraph" w:styleId="TOC2">
    <w:name w:val="toc 2"/>
    <w:basedOn w:val="Normal"/>
    <w:next w:val="Normal"/>
    <w:autoRedefine/>
    <w:uiPriority w:val="39"/>
    <w:unhideWhenUsed/>
    <w:qFormat/>
    <w:rsid w:val="00F745E7"/>
    <w:pPr>
      <w:tabs>
        <w:tab w:val="right" w:leader="dot" w:pos="9926"/>
      </w:tabs>
      <w:spacing w:after="100"/>
      <w:ind w:left="220"/>
    </w:pPr>
    <w:rPr>
      <w:caps/>
      <w:noProof/>
    </w:rPr>
  </w:style>
  <w:style w:type="character" w:styleId="UnresolvedMention">
    <w:name w:val="Unresolved Mention"/>
    <w:uiPriority w:val="99"/>
    <w:unhideWhenUsed/>
    <w:rsid w:val="00F745E7"/>
    <w:rPr>
      <w:color w:val="605E5C"/>
      <w:shd w:val="clear" w:color="auto" w:fill="E1DFDD"/>
    </w:rPr>
  </w:style>
  <w:style w:type="paragraph" w:customStyle="1" w:styleId="NormalBold">
    <w:name w:val="Normal Bold"/>
    <w:basedOn w:val="Normal"/>
    <w:qFormat/>
    <w:rsid w:val="00257F0A"/>
    <w:rPr>
      <w:rFonts w:ascii="Calibri" w:hAnsi="Calibri" w:cs="Calibri"/>
      <w:b/>
      <w:bCs/>
    </w:rPr>
  </w:style>
  <w:style w:type="paragraph" w:styleId="Revision">
    <w:name w:val="Revision"/>
    <w:hidden/>
    <w:uiPriority w:val="99"/>
    <w:semiHidden/>
    <w:rsid w:val="0087125D"/>
    <w:rPr>
      <w:rFonts w:ascii="Calibri Light" w:eastAsia="SimSun" w:hAnsi="Calibri Light" w:cs="Calibri Light"/>
      <w:sz w:val="22"/>
      <w:szCs w:val="22"/>
      <w:lang w:val="en-GB" w:eastAsia="zh-CN"/>
    </w:rPr>
  </w:style>
  <w:style w:type="character" w:customStyle="1" w:styleId="ListParagraphChar">
    <w:name w:val="List Paragraph Char"/>
    <w:aliases w:val="List Paragraph (numbered (a)) Char,Bullets Char,Bullet paras Char,123 List Paragraph Char,MCHIP_list paragraph Char,List Paragraph1 Char,Recommendation Char,Dot pt Char,F5 List Paragraph Char,No Spacing1 Char,Indicator Text Char"/>
    <w:link w:val="ListParagraph"/>
    <w:uiPriority w:val="34"/>
    <w:qFormat/>
    <w:locked/>
    <w:rsid w:val="00F35FC4"/>
    <w:rPr>
      <w:rFonts w:ascii="Calibri Light" w:eastAsia="SimSun" w:hAnsi="Calibri Light" w:cs="Calibri Light"/>
      <w:sz w:val="22"/>
      <w:szCs w:val="22"/>
      <w:lang w:val="en-GB" w:eastAsia="zh-CN"/>
    </w:rPr>
  </w:style>
  <w:style w:type="paragraph" w:styleId="NormalWeb">
    <w:name w:val="Normal (Web)"/>
    <w:basedOn w:val="Normal"/>
    <w:uiPriority w:val="99"/>
    <w:unhideWhenUsed/>
    <w:rsid w:val="00F35FC4"/>
    <w:pPr>
      <w:spacing w:before="100" w:beforeAutospacing="1" w:after="100" w:afterAutospacing="1"/>
    </w:pPr>
  </w:style>
  <w:style w:type="character" w:customStyle="1" w:styleId="FootnoteTextChar1">
    <w:name w:val="Footnote Text Char1"/>
    <w:aliases w:val="Geneva 9 Char Char,Font: Geneva 9 Char Char,Boston 10 Char Char,f Char Char,Footnote Text Char Char Char Char Char Char Char Char,Footnote Text Char Char Char Char1 Char Char,Footnote Text Char Char Char Char Char1 Char Char"/>
    <w:uiPriority w:val="99"/>
    <w:semiHidden/>
    <w:rsid w:val="0017614A"/>
    <w:rPr>
      <w:rFonts w:ascii="Calibri" w:eastAsia="MS Mincho" w:hAnsi="Calibri" w:cs="Times New Roman"/>
      <w:sz w:val="18"/>
      <w:szCs w:val="20"/>
      <w:lang w:val="en-GB"/>
    </w:rPr>
  </w:style>
  <w:style w:type="paragraph" w:customStyle="1" w:styleId="Style">
    <w:name w:val="Style"/>
    <w:rsid w:val="0017614A"/>
    <w:pPr>
      <w:widowControl w:val="0"/>
      <w:autoSpaceDE w:val="0"/>
      <w:autoSpaceDN w:val="0"/>
      <w:adjustRightInd w:val="0"/>
    </w:pPr>
    <w:rPr>
      <w:rFonts w:ascii="Times New Roman" w:eastAsia="Calibri" w:hAnsi="Times New Roman" w:cs="Times New Roman"/>
      <w:lang w:val="en-US" w:eastAsia="en-US"/>
    </w:rPr>
  </w:style>
  <w:style w:type="character" w:styleId="FollowedHyperlink">
    <w:name w:val="FollowedHyperlink"/>
    <w:basedOn w:val="DefaultParagraphFont"/>
    <w:uiPriority w:val="99"/>
    <w:semiHidden/>
    <w:unhideWhenUsed/>
    <w:rsid w:val="00493342"/>
    <w:rPr>
      <w:color w:val="954F72" w:themeColor="followedHyperlink"/>
      <w:u w:val="single"/>
    </w:rPr>
  </w:style>
  <w:style w:type="paragraph" w:styleId="Caption">
    <w:name w:val="caption"/>
    <w:basedOn w:val="Normal"/>
    <w:next w:val="Normal"/>
    <w:uiPriority w:val="35"/>
    <w:unhideWhenUsed/>
    <w:qFormat/>
    <w:rsid w:val="001613B0"/>
    <w:pPr>
      <w:spacing w:after="200"/>
    </w:pPr>
    <w:rPr>
      <w:i/>
      <w:iCs/>
      <w:color w:val="44546A" w:themeColor="text2"/>
      <w:sz w:val="18"/>
      <w:szCs w:val="18"/>
    </w:rPr>
  </w:style>
  <w:style w:type="table" w:styleId="GridTable1Light-Accent1">
    <w:name w:val="Grid Table 1 Light Accent 1"/>
    <w:basedOn w:val="TableNormal"/>
    <w:uiPriority w:val="46"/>
    <w:rsid w:val="001613B0"/>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4-Accent2">
    <w:name w:val="Grid Table 4 Accent 2"/>
    <w:basedOn w:val="TableNormal"/>
    <w:uiPriority w:val="49"/>
    <w:rsid w:val="001613B0"/>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Strong">
    <w:name w:val="Strong"/>
    <w:basedOn w:val="DefaultParagraphFont"/>
    <w:uiPriority w:val="22"/>
    <w:qFormat/>
    <w:rsid w:val="00CF0EA3"/>
    <w:rPr>
      <w:b/>
      <w:bCs/>
    </w:rPr>
  </w:style>
  <w:style w:type="table" w:styleId="GridTable5Dark-Accent2">
    <w:name w:val="Grid Table 5 Dark Accent 2"/>
    <w:basedOn w:val="TableNormal"/>
    <w:uiPriority w:val="50"/>
    <w:rsid w:val="00F82264"/>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numbering" w:customStyle="1" w:styleId="ME">
    <w:name w:val="M&amp;E"/>
    <w:uiPriority w:val="99"/>
    <w:rsid w:val="005D6250"/>
    <w:pPr>
      <w:numPr>
        <w:numId w:val="179"/>
      </w:numPr>
    </w:pPr>
  </w:style>
  <w:style w:type="table" w:styleId="TableGridLight">
    <w:name w:val="Grid Table Light"/>
    <w:basedOn w:val="TableNormal"/>
    <w:uiPriority w:val="40"/>
    <w:rsid w:val="00786BD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overflow-hidden">
    <w:name w:val="overflow-hidden"/>
    <w:basedOn w:val="DefaultParagraphFont"/>
    <w:rsid w:val="00355BD2"/>
  </w:style>
  <w:style w:type="character" w:styleId="PageNumber">
    <w:name w:val="page number"/>
    <w:basedOn w:val="DefaultParagraphFont"/>
    <w:uiPriority w:val="99"/>
    <w:semiHidden/>
    <w:unhideWhenUsed/>
    <w:rsid w:val="007A5C5F"/>
  </w:style>
  <w:style w:type="character" w:customStyle="1" w:styleId="Heading6Char">
    <w:name w:val="Heading 6 Char"/>
    <w:basedOn w:val="DefaultParagraphFont"/>
    <w:link w:val="Heading6"/>
    <w:uiPriority w:val="9"/>
    <w:semiHidden/>
    <w:rsid w:val="00EA79BF"/>
    <w:rPr>
      <w:rFonts w:ascii="Times New Roman" w:eastAsiaTheme="majorEastAsia" w:hAnsi="Times New Roman" w:cstheme="majorBidi"/>
      <w:i/>
      <w:iCs/>
      <w:color w:val="595959" w:themeColor="text1" w:themeTint="A6"/>
      <w:lang w:val="en-US" w:eastAsia="en-US"/>
    </w:rPr>
  </w:style>
  <w:style w:type="character" w:customStyle="1" w:styleId="Heading7Char">
    <w:name w:val="Heading 7 Char"/>
    <w:basedOn w:val="DefaultParagraphFont"/>
    <w:link w:val="Heading7"/>
    <w:uiPriority w:val="9"/>
    <w:semiHidden/>
    <w:rsid w:val="00EA79BF"/>
    <w:rPr>
      <w:rFonts w:ascii="Times New Roman" w:eastAsiaTheme="majorEastAsia" w:hAnsi="Times New Roman" w:cstheme="majorBidi"/>
      <w:color w:val="595959" w:themeColor="text1" w:themeTint="A6"/>
      <w:lang w:val="en-US" w:eastAsia="en-US"/>
    </w:rPr>
  </w:style>
  <w:style w:type="character" w:customStyle="1" w:styleId="Heading8Char">
    <w:name w:val="Heading 8 Char"/>
    <w:basedOn w:val="DefaultParagraphFont"/>
    <w:link w:val="Heading8"/>
    <w:uiPriority w:val="9"/>
    <w:semiHidden/>
    <w:rsid w:val="00EA79BF"/>
    <w:rPr>
      <w:rFonts w:ascii="Times New Roman" w:eastAsiaTheme="majorEastAsia" w:hAnsi="Times New Roman" w:cstheme="majorBidi"/>
      <w:i/>
      <w:iCs/>
      <w:color w:val="272727" w:themeColor="text1" w:themeTint="D8"/>
      <w:lang w:val="en-US" w:eastAsia="en-US"/>
    </w:rPr>
  </w:style>
  <w:style w:type="character" w:customStyle="1" w:styleId="Heading9Char">
    <w:name w:val="Heading 9 Char"/>
    <w:basedOn w:val="DefaultParagraphFont"/>
    <w:link w:val="Heading9"/>
    <w:uiPriority w:val="9"/>
    <w:semiHidden/>
    <w:rsid w:val="00EA79BF"/>
    <w:rPr>
      <w:rFonts w:ascii="Times New Roman" w:eastAsiaTheme="majorEastAsia" w:hAnsi="Times New Roman" w:cstheme="majorBidi"/>
      <w:color w:val="272727" w:themeColor="text1" w:themeTint="D8"/>
      <w:lang w:val="en-US" w:eastAsia="en-US"/>
    </w:rPr>
  </w:style>
  <w:style w:type="paragraph" w:styleId="Quote">
    <w:name w:val="Quote"/>
    <w:basedOn w:val="Normal"/>
    <w:next w:val="Normal"/>
    <w:link w:val="QuoteChar"/>
    <w:uiPriority w:val="29"/>
    <w:qFormat/>
    <w:rsid w:val="00EA79B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A79BF"/>
    <w:rPr>
      <w:rFonts w:ascii="Times New Roman" w:eastAsia="Times New Roman" w:hAnsi="Times New Roman" w:cs="Times New Roman"/>
      <w:i/>
      <w:iCs/>
      <w:color w:val="404040" w:themeColor="text1" w:themeTint="BF"/>
      <w:lang w:val="en-US" w:eastAsia="en-US"/>
    </w:rPr>
  </w:style>
  <w:style w:type="character" w:styleId="IntenseEmphasis">
    <w:name w:val="Intense Emphasis"/>
    <w:basedOn w:val="DefaultParagraphFont"/>
    <w:uiPriority w:val="21"/>
    <w:qFormat/>
    <w:rsid w:val="00EA79BF"/>
    <w:rPr>
      <w:i/>
      <w:iCs/>
      <w:color w:val="2F5496" w:themeColor="accent1" w:themeShade="BF"/>
    </w:rPr>
  </w:style>
  <w:style w:type="paragraph" w:styleId="IntenseQuote">
    <w:name w:val="Intense Quote"/>
    <w:basedOn w:val="Normal"/>
    <w:next w:val="Normal"/>
    <w:link w:val="IntenseQuoteChar"/>
    <w:uiPriority w:val="30"/>
    <w:qFormat/>
    <w:rsid w:val="00EA79B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A79BF"/>
    <w:rPr>
      <w:rFonts w:ascii="Times New Roman" w:eastAsia="Times New Roman" w:hAnsi="Times New Roman" w:cs="Times New Roman"/>
      <w:i/>
      <w:iCs/>
      <w:color w:val="2F5496" w:themeColor="accent1" w:themeShade="BF"/>
      <w:lang w:val="en-US" w:eastAsia="en-US"/>
    </w:rPr>
  </w:style>
  <w:style w:type="character" w:styleId="IntenseReference">
    <w:name w:val="Intense Reference"/>
    <w:basedOn w:val="DefaultParagraphFont"/>
    <w:uiPriority w:val="32"/>
    <w:qFormat/>
    <w:rsid w:val="00EA79BF"/>
    <w:rPr>
      <w:b/>
      <w:bCs/>
      <w:smallCaps/>
      <w:color w:val="2F5496" w:themeColor="accent1" w:themeShade="BF"/>
      <w:spacing w:val="5"/>
    </w:rPr>
  </w:style>
  <w:style w:type="character" w:customStyle="1" w:styleId="truncate">
    <w:name w:val="truncate"/>
    <w:basedOn w:val="DefaultParagraphFont"/>
    <w:rsid w:val="00455A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3611">
      <w:bodyDiv w:val="1"/>
      <w:marLeft w:val="0"/>
      <w:marRight w:val="0"/>
      <w:marTop w:val="0"/>
      <w:marBottom w:val="0"/>
      <w:divBdr>
        <w:top w:val="none" w:sz="0" w:space="0" w:color="auto"/>
        <w:left w:val="none" w:sz="0" w:space="0" w:color="auto"/>
        <w:bottom w:val="none" w:sz="0" w:space="0" w:color="auto"/>
        <w:right w:val="none" w:sz="0" w:space="0" w:color="auto"/>
      </w:divBdr>
      <w:divsChild>
        <w:div w:id="161549318">
          <w:marLeft w:val="0"/>
          <w:marRight w:val="0"/>
          <w:marTop w:val="0"/>
          <w:marBottom w:val="0"/>
          <w:divBdr>
            <w:top w:val="none" w:sz="0" w:space="0" w:color="auto"/>
            <w:left w:val="none" w:sz="0" w:space="0" w:color="auto"/>
            <w:bottom w:val="none" w:sz="0" w:space="0" w:color="auto"/>
            <w:right w:val="none" w:sz="0" w:space="0" w:color="auto"/>
          </w:divBdr>
        </w:div>
      </w:divsChild>
    </w:div>
    <w:div w:id="8026251">
      <w:bodyDiv w:val="1"/>
      <w:marLeft w:val="0"/>
      <w:marRight w:val="0"/>
      <w:marTop w:val="0"/>
      <w:marBottom w:val="0"/>
      <w:divBdr>
        <w:top w:val="none" w:sz="0" w:space="0" w:color="auto"/>
        <w:left w:val="none" w:sz="0" w:space="0" w:color="auto"/>
        <w:bottom w:val="none" w:sz="0" w:space="0" w:color="auto"/>
        <w:right w:val="none" w:sz="0" w:space="0" w:color="auto"/>
      </w:divBdr>
    </w:div>
    <w:div w:id="17701314">
      <w:bodyDiv w:val="1"/>
      <w:marLeft w:val="0"/>
      <w:marRight w:val="0"/>
      <w:marTop w:val="0"/>
      <w:marBottom w:val="0"/>
      <w:divBdr>
        <w:top w:val="none" w:sz="0" w:space="0" w:color="auto"/>
        <w:left w:val="none" w:sz="0" w:space="0" w:color="auto"/>
        <w:bottom w:val="none" w:sz="0" w:space="0" w:color="auto"/>
        <w:right w:val="none" w:sz="0" w:space="0" w:color="auto"/>
      </w:divBdr>
    </w:div>
    <w:div w:id="19671703">
      <w:bodyDiv w:val="1"/>
      <w:marLeft w:val="0"/>
      <w:marRight w:val="0"/>
      <w:marTop w:val="0"/>
      <w:marBottom w:val="0"/>
      <w:divBdr>
        <w:top w:val="none" w:sz="0" w:space="0" w:color="auto"/>
        <w:left w:val="none" w:sz="0" w:space="0" w:color="auto"/>
        <w:bottom w:val="none" w:sz="0" w:space="0" w:color="auto"/>
        <w:right w:val="none" w:sz="0" w:space="0" w:color="auto"/>
      </w:divBdr>
      <w:divsChild>
        <w:div w:id="1535920187">
          <w:marLeft w:val="0"/>
          <w:marRight w:val="0"/>
          <w:marTop w:val="0"/>
          <w:marBottom w:val="0"/>
          <w:divBdr>
            <w:top w:val="none" w:sz="0" w:space="0" w:color="auto"/>
            <w:left w:val="none" w:sz="0" w:space="0" w:color="auto"/>
            <w:bottom w:val="none" w:sz="0" w:space="0" w:color="auto"/>
            <w:right w:val="none" w:sz="0" w:space="0" w:color="auto"/>
          </w:divBdr>
        </w:div>
        <w:div w:id="117575541">
          <w:marLeft w:val="0"/>
          <w:marRight w:val="0"/>
          <w:marTop w:val="0"/>
          <w:marBottom w:val="0"/>
          <w:divBdr>
            <w:top w:val="none" w:sz="0" w:space="0" w:color="auto"/>
            <w:left w:val="none" w:sz="0" w:space="0" w:color="auto"/>
            <w:bottom w:val="none" w:sz="0" w:space="0" w:color="auto"/>
            <w:right w:val="none" w:sz="0" w:space="0" w:color="auto"/>
          </w:divBdr>
        </w:div>
      </w:divsChild>
    </w:div>
    <w:div w:id="24259308">
      <w:bodyDiv w:val="1"/>
      <w:marLeft w:val="0"/>
      <w:marRight w:val="0"/>
      <w:marTop w:val="0"/>
      <w:marBottom w:val="0"/>
      <w:divBdr>
        <w:top w:val="none" w:sz="0" w:space="0" w:color="auto"/>
        <w:left w:val="none" w:sz="0" w:space="0" w:color="auto"/>
        <w:bottom w:val="none" w:sz="0" w:space="0" w:color="auto"/>
        <w:right w:val="none" w:sz="0" w:space="0" w:color="auto"/>
      </w:divBdr>
    </w:div>
    <w:div w:id="30540437">
      <w:bodyDiv w:val="1"/>
      <w:marLeft w:val="0"/>
      <w:marRight w:val="0"/>
      <w:marTop w:val="0"/>
      <w:marBottom w:val="0"/>
      <w:divBdr>
        <w:top w:val="none" w:sz="0" w:space="0" w:color="auto"/>
        <w:left w:val="none" w:sz="0" w:space="0" w:color="auto"/>
        <w:bottom w:val="none" w:sz="0" w:space="0" w:color="auto"/>
        <w:right w:val="none" w:sz="0" w:space="0" w:color="auto"/>
      </w:divBdr>
    </w:div>
    <w:div w:id="32198691">
      <w:bodyDiv w:val="1"/>
      <w:marLeft w:val="0"/>
      <w:marRight w:val="0"/>
      <w:marTop w:val="0"/>
      <w:marBottom w:val="0"/>
      <w:divBdr>
        <w:top w:val="none" w:sz="0" w:space="0" w:color="auto"/>
        <w:left w:val="none" w:sz="0" w:space="0" w:color="auto"/>
        <w:bottom w:val="none" w:sz="0" w:space="0" w:color="auto"/>
        <w:right w:val="none" w:sz="0" w:space="0" w:color="auto"/>
      </w:divBdr>
      <w:divsChild>
        <w:div w:id="1976908563">
          <w:marLeft w:val="0"/>
          <w:marRight w:val="0"/>
          <w:marTop w:val="0"/>
          <w:marBottom w:val="0"/>
          <w:divBdr>
            <w:top w:val="none" w:sz="0" w:space="0" w:color="auto"/>
            <w:left w:val="none" w:sz="0" w:space="0" w:color="auto"/>
            <w:bottom w:val="none" w:sz="0" w:space="0" w:color="auto"/>
            <w:right w:val="none" w:sz="0" w:space="0" w:color="auto"/>
          </w:divBdr>
        </w:div>
        <w:div w:id="1494762527">
          <w:marLeft w:val="0"/>
          <w:marRight w:val="0"/>
          <w:marTop w:val="0"/>
          <w:marBottom w:val="0"/>
          <w:divBdr>
            <w:top w:val="none" w:sz="0" w:space="0" w:color="auto"/>
            <w:left w:val="none" w:sz="0" w:space="0" w:color="auto"/>
            <w:bottom w:val="none" w:sz="0" w:space="0" w:color="auto"/>
            <w:right w:val="none" w:sz="0" w:space="0" w:color="auto"/>
          </w:divBdr>
        </w:div>
      </w:divsChild>
    </w:div>
    <w:div w:id="37899512">
      <w:bodyDiv w:val="1"/>
      <w:marLeft w:val="0"/>
      <w:marRight w:val="0"/>
      <w:marTop w:val="0"/>
      <w:marBottom w:val="0"/>
      <w:divBdr>
        <w:top w:val="none" w:sz="0" w:space="0" w:color="auto"/>
        <w:left w:val="none" w:sz="0" w:space="0" w:color="auto"/>
        <w:bottom w:val="none" w:sz="0" w:space="0" w:color="auto"/>
        <w:right w:val="none" w:sz="0" w:space="0" w:color="auto"/>
      </w:divBdr>
    </w:div>
    <w:div w:id="39016233">
      <w:bodyDiv w:val="1"/>
      <w:marLeft w:val="0"/>
      <w:marRight w:val="0"/>
      <w:marTop w:val="0"/>
      <w:marBottom w:val="0"/>
      <w:divBdr>
        <w:top w:val="none" w:sz="0" w:space="0" w:color="auto"/>
        <w:left w:val="none" w:sz="0" w:space="0" w:color="auto"/>
        <w:bottom w:val="none" w:sz="0" w:space="0" w:color="auto"/>
        <w:right w:val="none" w:sz="0" w:space="0" w:color="auto"/>
      </w:divBdr>
    </w:div>
    <w:div w:id="42215229">
      <w:bodyDiv w:val="1"/>
      <w:marLeft w:val="0"/>
      <w:marRight w:val="0"/>
      <w:marTop w:val="0"/>
      <w:marBottom w:val="0"/>
      <w:divBdr>
        <w:top w:val="none" w:sz="0" w:space="0" w:color="auto"/>
        <w:left w:val="none" w:sz="0" w:space="0" w:color="auto"/>
        <w:bottom w:val="none" w:sz="0" w:space="0" w:color="auto"/>
        <w:right w:val="none" w:sz="0" w:space="0" w:color="auto"/>
      </w:divBdr>
    </w:div>
    <w:div w:id="46299758">
      <w:bodyDiv w:val="1"/>
      <w:marLeft w:val="0"/>
      <w:marRight w:val="0"/>
      <w:marTop w:val="0"/>
      <w:marBottom w:val="0"/>
      <w:divBdr>
        <w:top w:val="none" w:sz="0" w:space="0" w:color="auto"/>
        <w:left w:val="none" w:sz="0" w:space="0" w:color="auto"/>
        <w:bottom w:val="none" w:sz="0" w:space="0" w:color="auto"/>
        <w:right w:val="none" w:sz="0" w:space="0" w:color="auto"/>
      </w:divBdr>
    </w:div>
    <w:div w:id="55015874">
      <w:bodyDiv w:val="1"/>
      <w:marLeft w:val="0"/>
      <w:marRight w:val="0"/>
      <w:marTop w:val="0"/>
      <w:marBottom w:val="0"/>
      <w:divBdr>
        <w:top w:val="none" w:sz="0" w:space="0" w:color="auto"/>
        <w:left w:val="none" w:sz="0" w:space="0" w:color="auto"/>
        <w:bottom w:val="none" w:sz="0" w:space="0" w:color="auto"/>
        <w:right w:val="none" w:sz="0" w:space="0" w:color="auto"/>
      </w:divBdr>
    </w:div>
    <w:div w:id="57635197">
      <w:bodyDiv w:val="1"/>
      <w:marLeft w:val="0"/>
      <w:marRight w:val="0"/>
      <w:marTop w:val="0"/>
      <w:marBottom w:val="0"/>
      <w:divBdr>
        <w:top w:val="none" w:sz="0" w:space="0" w:color="auto"/>
        <w:left w:val="none" w:sz="0" w:space="0" w:color="auto"/>
        <w:bottom w:val="none" w:sz="0" w:space="0" w:color="auto"/>
        <w:right w:val="none" w:sz="0" w:space="0" w:color="auto"/>
      </w:divBdr>
    </w:div>
    <w:div w:id="68574748">
      <w:bodyDiv w:val="1"/>
      <w:marLeft w:val="0"/>
      <w:marRight w:val="0"/>
      <w:marTop w:val="0"/>
      <w:marBottom w:val="0"/>
      <w:divBdr>
        <w:top w:val="none" w:sz="0" w:space="0" w:color="auto"/>
        <w:left w:val="none" w:sz="0" w:space="0" w:color="auto"/>
        <w:bottom w:val="none" w:sz="0" w:space="0" w:color="auto"/>
        <w:right w:val="none" w:sz="0" w:space="0" w:color="auto"/>
      </w:divBdr>
    </w:div>
    <w:div w:id="121503945">
      <w:bodyDiv w:val="1"/>
      <w:marLeft w:val="0"/>
      <w:marRight w:val="0"/>
      <w:marTop w:val="0"/>
      <w:marBottom w:val="0"/>
      <w:divBdr>
        <w:top w:val="none" w:sz="0" w:space="0" w:color="auto"/>
        <w:left w:val="none" w:sz="0" w:space="0" w:color="auto"/>
        <w:bottom w:val="none" w:sz="0" w:space="0" w:color="auto"/>
        <w:right w:val="none" w:sz="0" w:space="0" w:color="auto"/>
      </w:divBdr>
    </w:div>
    <w:div w:id="141889242">
      <w:bodyDiv w:val="1"/>
      <w:marLeft w:val="0"/>
      <w:marRight w:val="0"/>
      <w:marTop w:val="0"/>
      <w:marBottom w:val="0"/>
      <w:divBdr>
        <w:top w:val="none" w:sz="0" w:space="0" w:color="auto"/>
        <w:left w:val="none" w:sz="0" w:space="0" w:color="auto"/>
        <w:bottom w:val="none" w:sz="0" w:space="0" w:color="auto"/>
        <w:right w:val="none" w:sz="0" w:space="0" w:color="auto"/>
      </w:divBdr>
    </w:div>
    <w:div w:id="145169921">
      <w:bodyDiv w:val="1"/>
      <w:marLeft w:val="0"/>
      <w:marRight w:val="0"/>
      <w:marTop w:val="0"/>
      <w:marBottom w:val="0"/>
      <w:divBdr>
        <w:top w:val="none" w:sz="0" w:space="0" w:color="auto"/>
        <w:left w:val="none" w:sz="0" w:space="0" w:color="auto"/>
        <w:bottom w:val="none" w:sz="0" w:space="0" w:color="auto"/>
        <w:right w:val="none" w:sz="0" w:space="0" w:color="auto"/>
      </w:divBdr>
    </w:div>
    <w:div w:id="147212166">
      <w:bodyDiv w:val="1"/>
      <w:marLeft w:val="0"/>
      <w:marRight w:val="0"/>
      <w:marTop w:val="0"/>
      <w:marBottom w:val="0"/>
      <w:divBdr>
        <w:top w:val="none" w:sz="0" w:space="0" w:color="auto"/>
        <w:left w:val="none" w:sz="0" w:space="0" w:color="auto"/>
        <w:bottom w:val="none" w:sz="0" w:space="0" w:color="auto"/>
        <w:right w:val="none" w:sz="0" w:space="0" w:color="auto"/>
      </w:divBdr>
    </w:div>
    <w:div w:id="151727796">
      <w:bodyDiv w:val="1"/>
      <w:marLeft w:val="0"/>
      <w:marRight w:val="0"/>
      <w:marTop w:val="0"/>
      <w:marBottom w:val="0"/>
      <w:divBdr>
        <w:top w:val="none" w:sz="0" w:space="0" w:color="auto"/>
        <w:left w:val="none" w:sz="0" w:space="0" w:color="auto"/>
        <w:bottom w:val="none" w:sz="0" w:space="0" w:color="auto"/>
        <w:right w:val="none" w:sz="0" w:space="0" w:color="auto"/>
      </w:divBdr>
    </w:div>
    <w:div w:id="165362508">
      <w:bodyDiv w:val="1"/>
      <w:marLeft w:val="0"/>
      <w:marRight w:val="0"/>
      <w:marTop w:val="0"/>
      <w:marBottom w:val="0"/>
      <w:divBdr>
        <w:top w:val="none" w:sz="0" w:space="0" w:color="auto"/>
        <w:left w:val="none" w:sz="0" w:space="0" w:color="auto"/>
        <w:bottom w:val="none" w:sz="0" w:space="0" w:color="auto"/>
        <w:right w:val="none" w:sz="0" w:space="0" w:color="auto"/>
      </w:divBdr>
    </w:div>
    <w:div w:id="195504353">
      <w:bodyDiv w:val="1"/>
      <w:marLeft w:val="0"/>
      <w:marRight w:val="0"/>
      <w:marTop w:val="0"/>
      <w:marBottom w:val="0"/>
      <w:divBdr>
        <w:top w:val="none" w:sz="0" w:space="0" w:color="auto"/>
        <w:left w:val="none" w:sz="0" w:space="0" w:color="auto"/>
        <w:bottom w:val="none" w:sz="0" w:space="0" w:color="auto"/>
        <w:right w:val="none" w:sz="0" w:space="0" w:color="auto"/>
      </w:divBdr>
      <w:divsChild>
        <w:div w:id="1284851340">
          <w:marLeft w:val="0"/>
          <w:marRight w:val="0"/>
          <w:marTop w:val="0"/>
          <w:marBottom w:val="0"/>
          <w:divBdr>
            <w:top w:val="none" w:sz="0" w:space="0" w:color="auto"/>
            <w:left w:val="none" w:sz="0" w:space="0" w:color="auto"/>
            <w:bottom w:val="none" w:sz="0" w:space="0" w:color="auto"/>
            <w:right w:val="none" w:sz="0" w:space="0" w:color="auto"/>
          </w:divBdr>
          <w:divsChild>
            <w:div w:id="2136022046">
              <w:marLeft w:val="0"/>
              <w:marRight w:val="0"/>
              <w:marTop w:val="0"/>
              <w:marBottom w:val="0"/>
              <w:divBdr>
                <w:top w:val="none" w:sz="0" w:space="0" w:color="auto"/>
                <w:left w:val="none" w:sz="0" w:space="0" w:color="auto"/>
                <w:bottom w:val="none" w:sz="0" w:space="0" w:color="auto"/>
                <w:right w:val="none" w:sz="0" w:space="0" w:color="auto"/>
              </w:divBdr>
              <w:divsChild>
                <w:div w:id="490221141">
                  <w:marLeft w:val="0"/>
                  <w:marRight w:val="0"/>
                  <w:marTop w:val="0"/>
                  <w:marBottom w:val="0"/>
                  <w:divBdr>
                    <w:top w:val="none" w:sz="0" w:space="0" w:color="auto"/>
                    <w:left w:val="none" w:sz="0" w:space="0" w:color="auto"/>
                    <w:bottom w:val="none" w:sz="0" w:space="0" w:color="auto"/>
                    <w:right w:val="none" w:sz="0" w:space="0" w:color="auto"/>
                  </w:divBdr>
                  <w:divsChild>
                    <w:div w:id="7505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228709">
      <w:bodyDiv w:val="1"/>
      <w:marLeft w:val="0"/>
      <w:marRight w:val="0"/>
      <w:marTop w:val="0"/>
      <w:marBottom w:val="0"/>
      <w:divBdr>
        <w:top w:val="none" w:sz="0" w:space="0" w:color="auto"/>
        <w:left w:val="none" w:sz="0" w:space="0" w:color="auto"/>
        <w:bottom w:val="none" w:sz="0" w:space="0" w:color="auto"/>
        <w:right w:val="none" w:sz="0" w:space="0" w:color="auto"/>
      </w:divBdr>
    </w:div>
    <w:div w:id="242763782">
      <w:bodyDiv w:val="1"/>
      <w:marLeft w:val="0"/>
      <w:marRight w:val="0"/>
      <w:marTop w:val="0"/>
      <w:marBottom w:val="0"/>
      <w:divBdr>
        <w:top w:val="none" w:sz="0" w:space="0" w:color="auto"/>
        <w:left w:val="none" w:sz="0" w:space="0" w:color="auto"/>
        <w:bottom w:val="none" w:sz="0" w:space="0" w:color="auto"/>
        <w:right w:val="none" w:sz="0" w:space="0" w:color="auto"/>
      </w:divBdr>
    </w:div>
    <w:div w:id="280652860">
      <w:bodyDiv w:val="1"/>
      <w:marLeft w:val="0"/>
      <w:marRight w:val="0"/>
      <w:marTop w:val="0"/>
      <w:marBottom w:val="0"/>
      <w:divBdr>
        <w:top w:val="none" w:sz="0" w:space="0" w:color="auto"/>
        <w:left w:val="none" w:sz="0" w:space="0" w:color="auto"/>
        <w:bottom w:val="none" w:sz="0" w:space="0" w:color="auto"/>
        <w:right w:val="none" w:sz="0" w:space="0" w:color="auto"/>
      </w:divBdr>
    </w:div>
    <w:div w:id="282464824">
      <w:bodyDiv w:val="1"/>
      <w:marLeft w:val="0"/>
      <w:marRight w:val="0"/>
      <w:marTop w:val="0"/>
      <w:marBottom w:val="0"/>
      <w:divBdr>
        <w:top w:val="none" w:sz="0" w:space="0" w:color="auto"/>
        <w:left w:val="none" w:sz="0" w:space="0" w:color="auto"/>
        <w:bottom w:val="none" w:sz="0" w:space="0" w:color="auto"/>
        <w:right w:val="none" w:sz="0" w:space="0" w:color="auto"/>
      </w:divBdr>
    </w:div>
    <w:div w:id="284430371">
      <w:bodyDiv w:val="1"/>
      <w:marLeft w:val="0"/>
      <w:marRight w:val="0"/>
      <w:marTop w:val="0"/>
      <w:marBottom w:val="0"/>
      <w:divBdr>
        <w:top w:val="none" w:sz="0" w:space="0" w:color="auto"/>
        <w:left w:val="none" w:sz="0" w:space="0" w:color="auto"/>
        <w:bottom w:val="none" w:sz="0" w:space="0" w:color="auto"/>
        <w:right w:val="none" w:sz="0" w:space="0" w:color="auto"/>
      </w:divBdr>
      <w:divsChild>
        <w:div w:id="137311434">
          <w:marLeft w:val="0"/>
          <w:marRight w:val="0"/>
          <w:marTop w:val="0"/>
          <w:marBottom w:val="0"/>
          <w:divBdr>
            <w:top w:val="none" w:sz="0" w:space="0" w:color="auto"/>
            <w:left w:val="none" w:sz="0" w:space="0" w:color="auto"/>
            <w:bottom w:val="none" w:sz="0" w:space="0" w:color="auto"/>
            <w:right w:val="none" w:sz="0" w:space="0" w:color="auto"/>
          </w:divBdr>
        </w:div>
        <w:div w:id="1041200026">
          <w:marLeft w:val="0"/>
          <w:marRight w:val="0"/>
          <w:marTop w:val="0"/>
          <w:marBottom w:val="0"/>
          <w:divBdr>
            <w:top w:val="none" w:sz="0" w:space="0" w:color="auto"/>
            <w:left w:val="none" w:sz="0" w:space="0" w:color="auto"/>
            <w:bottom w:val="none" w:sz="0" w:space="0" w:color="auto"/>
            <w:right w:val="none" w:sz="0" w:space="0" w:color="auto"/>
          </w:divBdr>
        </w:div>
      </w:divsChild>
    </w:div>
    <w:div w:id="294608986">
      <w:bodyDiv w:val="1"/>
      <w:marLeft w:val="0"/>
      <w:marRight w:val="0"/>
      <w:marTop w:val="0"/>
      <w:marBottom w:val="0"/>
      <w:divBdr>
        <w:top w:val="none" w:sz="0" w:space="0" w:color="auto"/>
        <w:left w:val="none" w:sz="0" w:space="0" w:color="auto"/>
        <w:bottom w:val="none" w:sz="0" w:space="0" w:color="auto"/>
        <w:right w:val="none" w:sz="0" w:space="0" w:color="auto"/>
      </w:divBdr>
    </w:div>
    <w:div w:id="337852131">
      <w:bodyDiv w:val="1"/>
      <w:marLeft w:val="0"/>
      <w:marRight w:val="0"/>
      <w:marTop w:val="0"/>
      <w:marBottom w:val="0"/>
      <w:divBdr>
        <w:top w:val="none" w:sz="0" w:space="0" w:color="auto"/>
        <w:left w:val="none" w:sz="0" w:space="0" w:color="auto"/>
        <w:bottom w:val="none" w:sz="0" w:space="0" w:color="auto"/>
        <w:right w:val="none" w:sz="0" w:space="0" w:color="auto"/>
      </w:divBdr>
    </w:div>
    <w:div w:id="341933277">
      <w:bodyDiv w:val="1"/>
      <w:marLeft w:val="0"/>
      <w:marRight w:val="0"/>
      <w:marTop w:val="0"/>
      <w:marBottom w:val="0"/>
      <w:divBdr>
        <w:top w:val="none" w:sz="0" w:space="0" w:color="auto"/>
        <w:left w:val="none" w:sz="0" w:space="0" w:color="auto"/>
        <w:bottom w:val="none" w:sz="0" w:space="0" w:color="auto"/>
        <w:right w:val="none" w:sz="0" w:space="0" w:color="auto"/>
      </w:divBdr>
    </w:div>
    <w:div w:id="342130199">
      <w:bodyDiv w:val="1"/>
      <w:marLeft w:val="0"/>
      <w:marRight w:val="0"/>
      <w:marTop w:val="0"/>
      <w:marBottom w:val="0"/>
      <w:divBdr>
        <w:top w:val="none" w:sz="0" w:space="0" w:color="auto"/>
        <w:left w:val="none" w:sz="0" w:space="0" w:color="auto"/>
        <w:bottom w:val="none" w:sz="0" w:space="0" w:color="auto"/>
        <w:right w:val="none" w:sz="0" w:space="0" w:color="auto"/>
      </w:divBdr>
    </w:div>
    <w:div w:id="342170931">
      <w:bodyDiv w:val="1"/>
      <w:marLeft w:val="0"/>
      <w:marRight w:val="0"/>
      <w:marTop w:val="0"/>
      <w:marBottom w:val="0"/>
      <w:divBdr>
        <w:top w:val="none" w:sz="0" w:space="0" w:color="auto"/>
        <w:left w:val="none" w:sz="0" w:space="0" w:color="auto"/>
        <w:bottom w:val="none" w:sz="0" w:space="0" w:color="auto"/>
        <w:right w:val="none" w:sz="0" w:space="0" w:color="auto"/>
      </w:divBdr>
    </w:div>
    <w:div w:id="366028849">
      <w:bodyDiv w:val="1"/>
      <w:marLeft w:val="0"/>
      <w:marRight w:val="0"/>
      <w:marTop w:val="0"/>
      <w:marBottom w:val="0"/>
      <w:divBdr>
        <w:top w:val="none" w:sz="0" w:space="0" w:color="auto"/>
        <w:left w:val="none" w:sz="0" w:space="0" w:color="auto"/>
        <w:bottom w:val="none" w:sz="0" w:space="0" w:color="auto"/>
        <w:right w:val="none" w:sz="0" w:space="0" w:color="auto"/>
      </w:divBdr>
    </w:div>
    <w:div w:id="377316474">
      <w:bodyDiv w:val="1"/>
      <w:marLeft w:val="0"/>
      <w:marRight w:val="0"/>
      <w:marTop w:val="0"/>
      <w:marBottom w:val="0"/>
      <w:divBdr>
        <w:top w:val="none" w:sz="0" w:space="0" w:color="auto"/>
        <w:left w:val="none" w:sz="0" w:space="0" w:color="auto"/>
        <w:bottom w:val="none" w:sz="0" w:space="0" w:color="auto"/>
        <w:right w:val="none" w:sz="0" w:space="0" w:color="auto"/>
      </w:divBdr>
    </w:div>
    <w:div w:id="379331329">
      <w:bodyDiv w:val="1"/>
      <w:marLeft w:val="0"/>
      <w:marRight w:val="0"/>
      <w:marTop w:val="0"/>
      <w:marBottom w:val="0"/>
      <w:divBdr>
        <w:top w:val="none" w:sz="0" w:space="0" w:color="auto"/>
        <w:left w:val="none" w:sz="0" w:space="0" w:color="auto"/>
        <w:bottom w:val="none" w:sz="0" w:space="0" w:color="auto"/>
        <w:right w:val="none" w:sz="0" w:space="0" w:color="auto"/>
      </w:divBdr>
    </w:div>
    <w:div w:id="393243025">
      <w:bodyDiv w:val="1"/>
      <w:marLeft w:val="0"/>
      <w:marRight w:val="0"/>
      <w:marTop w:val="0"/>
      <w:marBottom w:val="0"/>
      <w:divBdr>
        <w:top w:val="none" w:sz="0" w:space="0" w:color="auto"/>
        <w:left w:val="none" w:sz="0" w:space="0" w:color="auto"/>
        <w:bottom w:val="none" w:sz="0" w:space="0" w:color="auto"/>
        <w:right w:val="none" w:sz="0" w:space="0" w:color="auto"/>
      </w:divBdr>
      <w:divsChild>
        <w:div w:id="1765566299">
          <w:marLeft w:val="0"/>
          <w:marRight w:val="0"/>
          <w:marTop w:val="0"/>
          <w:marBottom w:val="0"/>
          <w:divBdr>
            <w:top w:val="none" w:sz="0" w:space="0" w:color="auto"/>
            <w:left w:val="none" w:sz="0" w:space="0" w:color="auto"/>
            <w:bottom w:val="none" w:sz="0" w:space="0" w:color="auto"/>
            <w:right w:val="none" w:sz="0" w:space="0" w:color="auto"/>
          </w:divBdr>
        </w:div>
        <w:div w:id="1951737559">
          <w:marLeft w:val="0"/>
          <w:marRight w:val="0"/>
          <w:marTop w:val="0"/>
          <w:marBottom w:val="0"/>
          <w:divBdr>
            <w:top w:val="none" w:sz="0" w:space="0" w:color="auto"/>
            <w:left w:val="none" w:sz="0" w:space="0" w:color="auto"/>
            <w:bottom w:val="none" w:sz="0" w:space="0" w:color="auto"/>
            <w:right w:val="none" w:sz="0" w:space="0" w:color="auto"/>
          </w:divBdr>
        </w:div>
      </w:divsChild>
    </w:div>
    <w:div w:id="394741734">
      <w:bodyDiv w:val="1"/>
      <w:marLeft w:val="0"/>
      <w:marRight w:val="0"/>
      <w:marTop w:val="0"/>
      <w:marBottom w:val="0"/>
      <w:divBdr>
        <w:top w:val="none" w:sz="0" w:space="0" w:color="auto"/>
        <w:left w:val="none" w:sz="0" w:space="0" w:color="auto"/>
        <w:bottom w:val="none" w:sz="0" w:space="0" w:color="auto"/>
        <w:right w:val="none" w:sz="0" w:space="0" w:color="auto"/>
      </w:divBdr>
    </w:div>
    <w:div w:id="396317926">
      <w:bodyDiv w:val="1"/>
      <w:marLeft w:val="0"/>
      <w:marRight w:val="0"/>
      <w:marTop w:val="0"/>
      <w:marBottom w:val="0"/>
      <w:divBdr>
        <w:top w:val="none" w:sz="0" w:space="0" w:color="auto"/>
        <w:left w:val="none" w:sz="0" w:space="0" w:color="auto"/>
        <w:bottom w:val="none" w:sz="0" w:space="0" w:color="auto"/>
        <w:right w:val="none" w:sz="0" w:space="0" w:color="auto"/>
      </w:divBdr>
    </w:div>
    <w:div w:id="407655944">
      <w:bodyDiv w:val="1"/>
      <w:marLeft w:val="0"/>
      <w:marRight w:val="0"/>
      <w:marTop w:val="0"/>
      <w:marBottom w:val="0"/>
      <w:divBdr>
        <w:top w:val="none" w:sz="0" w:space="0" w:color="auto"/>
        <w:left w:val="none" w:sz="0" w:space="0" w:color="auto"/>
        <w:bottom w:val="none" w:sz="0" w:space="0" w:color="auto"/>
        <w:right w:val="none" w:sz="0" w:space="0" w:color="auto"/>
      </w:divBdr>
    </w:div>
    <w:div w:id="425224877">
      <w:bodyDiv w:val="1"/>
      <w:marLeft w:val="0"/>
      <w:marRight w:val="0"/>
      <w:marTop w:val="0"/>
      <w:marBottom w:val="0"/>
      <w:divBdr>
        <w:top w:val="none" w:sz="0" w:space="0" w:color="auto"/>
        <w:left w:val="none" w:sz="0" w:space="0" w:color="auto"/>
        <w:bottom w:val="none" w:sz="0" w:space="0" w:color="auto"/>
        <w:right w:val="none" w:sz="0" w:space="0" w:color="auto"/>
      </w:divBdr>
      <w:divsChild>
        <w:div w:id="117796282">
          <w:marLeft w:val="0"/>
          <w:marRight w:val="0"/>
          <w:marTop w:val="0"/>
          <w:marBottom w:val="0"/>
          <w:divBdr>
            <w:top w:val="none" w:sz="0" w:space="0" w:color="auto"/>
            <w:left w:val="none" w:sz="0" w:space="0" w:color="auto"/>
            <w:bottom w:val="none" w:sz="0" w:space="0" w:color="auto"/>
            <w:right w:val="none" w:sz="0" w:space="0" w:color="auto"/>
          </w:divBdr>
          <w:divsChild>
            <w:div w:id="1477453146">
              <w:marLeft w:val="0"/>
              <w:marRight w:val="0"/>
              <w:marTop w:val="0"/>
              <w:marBottom w:val="0"/>
              <w:divBdr>
                <w:top w:val="none" w:sz="0" w:space="0" w:color="auto"/>
                <w:left w:val="none" w:sz="0" w:space="0" w:color="auto"/>
                <w:bottom w:val="none" w:sz="0" w:space="0" w:color="auto"/>
                <w:right w:val="none" w:sz="0" w:space="0" w:color="auto"/>
              </w:divBdr>
              <w:divsChild>
                <w:div w:id="693652968">
                  <w:marLeft w:val="0"/>
                  <w:marRight w:val="0"/>
                  <w:marTop w:val="0"/>
                  <w:marBottom w:val="0"/>
                  <w:divBdr>
                    <w:top w:val="none" w:sz="0" w:space="0" w:color="auto"/>
                    <w:left w:val="none" w:sz="0" w:space="0" w:color="auto"/>
                    <w:bottom w:val="none" w:sz="0" w:space="0" w:color="auto"/>
                    <w:right w:val="none" w:sz="0" w:space="0" w:color="auto"/>
                  </w:divBdr>
                  <w:divsChild>
                    <w:div w:id="2130002853">
                      <w:marLeft w:val="0"/>
                      <w:marRight w:val="0"/>
                      <w:marTop w:val="0"/>
                      <w:marBottom w:val="0"/>
                      <w:divBdr>
                        <w:top w:val="none" w:sz="0" w:space="0" w:color="auto"/>
                        <w:left w:val="none" w:sz="0" w:space="0" w:color="auto"/>
                        <w:bottom w:val="none" w:sz="0" w:space="0" w:color="auto"/>
                        <w:right w:val="none" w:sz="0" w:space="0" w:color="auto"/>
                      </w:divBdr>
                      <w:divsChild>
                        <w:div w:id="887881734">
                          <w:marLeft w:val="0"/>
                          <w:marRight w:val="0"/>
                          <w:marTop w:val="0"/>
                          <w:marBottom w:val="0"/>
                          <w:divBdr>
                            <w:top w:val="none" w:sz="0" w:space="0" w:color="auto"/>
                            <w:left w:val="none" w:sz="0" w:space="0" w:color="auto"/>
                            <w:bottom w:val="none" w:sz="0" w:space="0" w:color="auto"/>
                            <w:right w:val="none" w:sz="0" w:space="0" w:color="auto"/>
                          </w:divBdr>
                          <w:divsChild>
                            <w:div w:id="320234821">
                              <w:marLeft w:val="0"/>
                              <w:marRight w:val="0"/>
                              <w:marTop w:val="0"/>
                              <w:marBottom w:val="0"/>
                              <w:divBdr>
                                <w:top w:val="none" w:sz="0" w:space="0" w:color="auto"/>
                                <w:left w:val="none" w:sz="0" w:space="0" w:color="auto"/>
                                <w:bottom w:val="none" w:sz="0" w:space="0" w:color="auto"/>
                                <w:right w:val="none" w:sz="0" w:space="0" w:color="auto"/>
                              </w:divBdr>
                              <w:divsChild>
                                <w:div w:id="1986810759">
                                  <w:marLeft w:val="0"/>
                                  <w:marRight w:val="0"/>
                                  <w:marTop w:val="0"/>
                                  <w:marBottom w:val="0"/>
                                  <w:divBdr>
                                    <w:top w:val="none" w:sz="0" w:space="0" w:color="auto"/>
                                    <w:left w:val="none" w:sz="0" w:space="0" w:color="auto"/>
                                    <w:bottom w:val="none" w:sz="0" w:space="0" w:color="auto"/>
                                    <w:right w:val="none" w:sz="0" w:space="0" w:color="auto"/>
                                  </w:divBdr>
                                  <w:divsChild>
                                    <w:div w:id="1153060002">
                                      <w:marLeft w:val="0"/>
                                      <w:marRight w:val="0"/>
                                      <w:marTop w:val="0"/>
                                      <w:marBottom w:val="0"/>
                                      <w:divBdr>
                                        <w:top w:val="none" w:sz="0" w:space="0" w:color="auto"/>
                                        <w:left w:val="none" w:sz="0" w:space="0" w:color="auto"/>
                                        <w:bottom w:val="none" w:sz="0" w:space="0" w:color="auto"/>
                                        <w:right w:val="none" w:sz="0" w:space="0" w:color="auto"/>
                                      </w:divBdr>
                                      <w:divsChild>
                                        <w:div w:id="1092318268">
                                          <w:marLeft w:val="0"/>
                                          <w:marRight w:val="0"/>
                                          <w:marTop w:val="0"/>
                                          <w:marBottom w:val="0"/>
                                          <w:divBdr>
                                            <w:top w:val="none" w:sz="0" w:space="0" w:color="auto"/>
                                            <w:left w:val="none" w:sz="0" w:space="0" w:color="auto"/>
                                            <w:bottom w:val="none" w:sz="0" w:space="0" w:color="auto"/>
                                            <w:right w:val="none" w:sz="0" w:space="0" w:color="auto"/>
                                          </w:divBdr>
                                          <w:divsChild>
                                            <w:div w:id="1130248037">
                                              <w:marLeft w:val="0"/>
                                              <w:marRight w:val="0"/>
                                              <w:marTop w:val="0"/>
                                              <w:marBottom w:val="0"/>
                                              <w:divBdr>
                                                <w:top w:val="none" w:sz="0" w:space="0" w:color="auto"/>
                                                <w:left w:val="none" w:sz="0" w:space="0" w:color="auto"/>
                                                <w:bottom w:val="none" w:sz="0" w:space="0" w:color="auto"/>
                                                <w:right w:val="none" w:sz="0" w:space="0" w:color="auto"/>
                                              </w:divBdr>
                                              <w:divsChild>
                                                <w:div w:id="1495145716">
                                                  <w:marLeft w:val="0"/>
                                                  <w:marRight w:val="0"/>
                                                  <w:marTop w:val="0"/>
                                                  <w:marBottom w:val="0"/>
                                                  <w:divBdr>
                                                    <w:top w:val="none" w:sz="0" w:space="0" w:color="auto"/>
                                                    <w:left w:val="none" w:sz="0" w:space="0" w:color="auto"/>
                                                    <w:bottom w:val="none" w:sz="0" w:space="0" w:color="auto"/>
                                                    <w:right w:val="none" w:sz="0" w:space="0" w:color="auto"/>
                                                  </w:divBdr>
                                                  <w:divsChild>
                                                    <w:div w:id="1554467127">
                                                      <w:marLeft w:val="0"/>
                                                      <w:marRight w:val="0"/>
                                                      <w:marTop w:val="0"/>
                                                      <w:marBottom w:val="0"/>
                                                      <w:divBdr>
                                                        <w:top w:val="none" w:sz="0" w:space="0" w:color="auto"/>
                                                        <w:left w:val="none" w:sz="0" w:space="0" w:color="auto"/>
                                                        <w:bottom w:val="none" w:sz="0" w:space="0" w:color="auto"/>
                                                        <w:right w:val="none" w:sz="0" w:space="0" w:color="auto"/>
                                                      </w:divBdr>
                                                      <w:divsChild>
                                                        <w:div w:id="917710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30009895">
      <w:bodyDiv w:val="1"/>
      <w:marLeft w:val="0"/>
      <w:marRight w:val="0"/>
      <w:marTop w:val="0"/>
      <w:marBottom w:val="0"/>
      <w:divBdr>
        <w:top w:val="none" w:sz="0" w:space="0" w:color="auto"/>
        <w:left w:val="none" w:sz="0" w:space="0" w:color="auto"/>
        <w:bottom w:val="none" w:sz="0" w:space="0" w:color="auto"/>
        <w:right w:val="none" w:sz="0" w:space="0" w:color="auto"/>
      </w:divBdr>
      <w:divsChild>
        <w:div w:id="185407315">
          <w:marLeft w:val="0"/>
          <w:marRight w:val="0"/>
          <w:marTop w:val="0"/>
          <w:marBottom w:val="0"/>
          <w:divBdr>
            <w:top w:val="none" w:sz="0" w:space="0" w:color="auto"/>
            <w:left w:val="none" w:sz="0" w:space="0" w:color="auto"/>
            <w:bottom w:val="none" w:sz="0" w:space="0" w:color="auto"/>
            <w:right w:val="none" w:sz="0" w:space="0" w:color="auto"/>
          </w:divBdr>
        </w:div>
      </w:divsChild>
    </w:div>
    <w:div w:id="439878387">
      <w:bodyDiv w:val="1"/>
      <w:marLeft w:val="0"/>
      <w:marRight w:val="0"/>
      <w:marTop w:val="0"/>
      <w:marBottom w:val="0"/>
      <w:divBdr>
        <w:top w:val="none" w:sz="0" w:space="0" w:color="auto"/>
        <w:left w:val="none" w:sz="0" w:space="0" w:color="auto"/>
        <w:bottom w:val="none" w:sz="0" w:space="0" w:color="auto"/>
        <w:right w:val="none" w:sz="0" w:space="0" w:color="auto"/>
      </w:divBdr>
    </w:div>
    <w:div w:id="456681229">
      <w:bodyDiv w:val="1"/>
      <w:marLeft w:val="0"/>
      <w:marRight w:val="0"/>
      <w:marTop w:val="0"/>
      <w:marBottom w:val="0"/>
      <w:divBdr>
        <w:top w:val="none" w:sz="0" w:space="0" w:color="auto"/>
        <w:left w:val="none" w:sz="0" w:space="0" w:color="auto"/>
        <w:bottom w:val="none" w:sz="0" w:space="0" w:color="auto"/>
        <w:right w:val="none" w:sz="0" w:space="0" w:color="auto"/>
      </w:divBdr>
    </w:div>
    <w:div w:id="462772877">
      <w:bodyDiv w:val="1"/>
      <w:marLeft w:val="0"/>
      <w:marRight w:val="0"/>
      <w:marTop w:val="0"/>
      <w:marBottom w:val="0"/>
      <w:divBdr>
        <w:top w:val="none" w:sz="0" w:space="0" w:color="auto"/>
        <w:left w:val="none" w:sz="0" w:space="0" w:color="auto"/>
        <w:bottom w:val="none" w:sz="0" w:space="0" w:color="auto"/>
        <w:right w:val="none" w:sz="0" w:space="0" w:color="auto"/>
      </w:divBdr>
    </w:div>
    <w:div w:id="512115862">
      <w:bodyDiv w:val="1"/>
      <w:marLeft w:val="0"/>
      <w:marRight w:val="0"/>
      <w:marTop w:val="0"/>
      <w:marBottom w:val="0"/>
      <w:divBdr>
        <w:top w:val="none" w:sz="0" w:space="0" w:color="auto"/>
        <w:left w:val="none" w:sz="0" w:space="0" w:color="auto"/>
        <w:bottom w:val="none" w:sz="0" w:space="0" w:color="auto"/>
        <w:right w:val="none" w:sz="0" w:space="0" w:color="auto"/>
      </w:divBdr>
    </w:div>
    <w:div w:id="521088525">
      <w:bodyDiv w:val="1"/>
      <w:marLeft w:val="0"/>
      <w:marRight w:val="0"/>
      <w:marTop w:val="0"/>
      <w:marBottom w:val="0"/>
      <w:divBdr>
        <w:top w:val="none" w:sz="0" w:space="0" w:color="auto"/>
        <w:left w:val="none" w:sz="0" w:space="0" w:color="auto"/>
        <w:bottom w:val="none" w:sz="0" w:space="0" w:color="auto"/>
        <w:right w:val="none" w:sz="0" w:space="0" w:color="auto"/>
      </w:divBdr>
    </w:div>
    <w:div w:id="526413998">
      <w:bodyDiv w:val="1"/>
      <w:marLeft w:val="0"/>
      <w:marRight w:val="0"/>
      <w:marTop w:val="0"/>
      <w:marBottom w:val="0"/>
      <w:divBdr>
        <w:top w:val="none" w:sz="0" w:space="0" w:color="auto"/>
        <w:left w:val="none" w:sz="0" w:space="0" w:color="auto"/>
        <w:bottom w:val="none" w:sz="0" w:space="0" w:color="auto"/>
        <w:right w:val="none" w:sz="0" w:space="0" w:color="auto"/>
      </w:divBdr>
    </w:div>
    <w:div w:id="533423427">
      <w:bodyDiv w:val="1"/>
      <w:marLeft w:val="0"/>
      <w:marRight w:val="0"/>
      <w:marTop w:val="0"/>
      <w:marBottom w:val="0"/>
      <w:divBdr>
        <w:top w:val="none" w:sz="0" w:space="0" w:color="auto"/>
        <w:left w:val="none" w:sz="0" w:space="0" w:color="auto"/>
        <w:bottom w:val="none" w:sz="0" w:space="0" w:color="auto"/>
        <w:right w:val="none" w:sz="0" w:space="0" w:color="auto"/>
      </w:divBdr>
    </w:div>
    <w:div w:id="574516063">
      <w:bodyDiv w:val="1"/>
      <w:marLeft w:val="0"/>
      <w:marRight w:val="0"/>
      <w:marTop w:val="0"/>
      <w:marBottom w:val="0"/>
      <w:divBdr>
        <w:top w:val="none" w:sz="0" w:space="0" w:color="auto"/>
        <w:left w:val="none" w:sz="0" w:space="0" w:color="auto"/>
        <w:bottom w:val="none" w:sz="0" w:space="0" w:color="auto"/>
        <w:right w:val="none" w:sz="0" w:space="0" w:color="auto"/>
      </w:divBdr>
      <w:divsChild>
        <w:div w:id="847215541">
          <w:marLeft w:val="0"/>
          <w:marRight w:val="0"/>
          <w:marTop w:val="0"/>
          <w:marBottom w:val="0"/>
          <w:divBdr>
            <w:top w:val="none" w:sz="0" w:space="0" w:color="auto"/>
            <w:left w:val="none" w:sz="0" w:space="0" w:color="auto"/>
            <w:bottom w:val="none" w:sz="0" w:space="0" w:color="auto"/>
            <w:right w:val="none" w:sz="0" w:space="0" w:color="auto"/>
          </w:divBdr>
          <w:divsChild>
            <w:div w:id="1384450647">
              <w:marLeft w:val="0"/>
              <w:marRight w:val="0"/>
              <w:marTop w:val="0"/>
              <w:marBottom w:val="0"/>
              <w:divBdr>
                <w:top w:val="none" w:sz="0" w:space="0" w:color="auto"/>
                <w:left w:val="none" w:sz="0" w:space="0" w:color="auto"/>
                <w:bottom w:val="none" w:sz="0" w:space="0" w:color="auto"/>
                <w:right w:val="none" w:sz="0" w:space="0" w:color="auto"/>
              </w:divBdr>
              <w:divsChild>
                <w:div w:id="159276134">
                  <w:marLeft w:val="0"/>
                  <w:marRight w:val="0"/>
                  <w:marTop w:val="0"/>
                  <w:marBottom w:val="0"/>
                  <w:divBdr>
                    <w:top w:val="none" w:sz="0" w:space="0" w:color="auto"/>
                    <w:left w:val="none" w:sz="0" w:space="0" w:color="auto"/>
                    <w:bottom w:val="none" w:sz="0" w:space="0" w:color="auto"/>
                    <w:right w:val="none" w:sz="0" w:space="0" w:color="auto"/>
                  </w:divBdr>
                  <w:divsChild>
                    <w:div w:id="78500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3280">
          <w:marLeft w:val="0"/>
          <w:marRight w:val="0"/>
          <w:marTop w:val="0"/>
          <w:marBottom w:val="0"/>
          <w:divBdr>
            <w:top w:val="none" w:sz="0" w:space="0" w:color="auto"/>
            <w:left w:val="none" w:sz="0" w:space="0" w:color="auto"/>
            <w:bottom w:val="none" w:sz="0" w:space="0" w:color="auto"/>
            <w:right w:val="none" w:sz="0" w:space="0" w:color="auto"/>
          </w:divBdr>
          <w:divsChild>
            <w:div w:id="1471286964">
              <w:marLeft w:val="0"/>
              <w:marRight w:val="0"/>
              <w:marTop w:val="0"/>
              <w:marBottom w:val="0"/>
              <w:divBdr>
                <w:top w:val="none" w:sz="0" w:space="0" w:color="auto"/>
                <w:left w:val="none" w:sz="0" w:space="0" w:color="auto"/>
                <w:bottom w:val="none" w:sz="0" w:space="0" w:color="auto"/>
                <w:right w:val="none" w:sz="0" w:space="0" w:color="auto"/>
              </w:divBdr>
              <w:divsChild>
                <w:div w:id="316887732">
                  <w:marLeft w:val="0"/>
                  <w:marRight w:val="0"/>
                  <w:marTop w:val="0"/>
                  <w:marBottom w:val="0"/>
                  <w:divBdr>
                    <w:top w:val="none" w:sz="0" w:space="0" w:color="auto"/>
                    <w:left w:val="none" w:sz="0" w:space="0" w:color="auto"/>
                    <w:bottom w:val="none" w:sz="0" w:space="0" w:color="auto"/>
                    <w:right w:val="none" w:sz="0" w:space="0" w:color="auto"/>
                  </w:divBdr>
                  <w:divsChild>
                    <w:div w:id="185984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056710">
      <w:bodyDiv w:val="1"/>
      <w:marLeft w:val="0"/>
      <w:marRight w:val="0"/>
      <w:marTop w:val="0"/>
      <w:marBottom w:val="0"/>
      <w:divBdr>
        <w:top w:val="none" w:sz="0" w:space="0" w:color="auto"/>
        <w:left w:val="none" w:sz="0" w:space="0" w:color="auto"/>
        <w:bottom w:val="none" w:sz="0" w:space="0" w:color="auto"/>
        <w:right w:val="none" w:sz="0" w:space="0" w:color="auto"/>
      </w:divBdr>
    </w:div>
    <w:div w:id="580064576">
      <w:bodyDiv w:val="1"/>
      <w:marLeft w:val="0"/>
      <w:marRight w:val="0"/>
      <w:marTop w:val="0"/>
      <w:marBottom w:val="0"/>
      <w:divBdr>
        <w:top w:val="none" w:sz="0" w:space="0" w:color="auto"/>
        <w:left w:val="none" w:sz="0" w:space="0" w:color="auto"/>
        <w:bottom w:val="none" w:sz="0" w:space="0" w:color="auto"/>
        <w:right w:val="none" w:sz="0" w:space="0" w:color="auto"/>
      </w:divBdr>
    </w:div>
    <w:div w:id="580483653">
      <w:bodyDiv w:val="1"/>
      <w:marLeft w:val="0"/>
      <w:marRight w:val="0"/>
      <w:marTop w:val="0"/>
      <w:marBottom w:val="0"/>
      <w:divBdr>
        <w:top w:val="none" w:sz="0" w:space="0" w:color="auto"/>
        <w:left w:val="none" w:sz="0" w:space="0" w:color="auto"/>
        <w:bottom w:val="none" w:sz="0" w:space="0" w:color="auto"/>
        <w:right w:val="none" w:sz="0" w:space="0" w:color="auto"/>
      </w:divBdr>
    </w:div>
    <w:div w:id="580988422">
      <w:bodyDiv w:val="1"/>
      <w:marLeft w:val="0"/>
      <w:marRight w:val="0"/>
      <w:marTop w:val="0"/>
      <w:marBottom w:val="0"/>
      <w:divBdr>
        <w:top w:val="none" w:sz="0" w:space="0" w:color="auto"/>
        <w:left w:val="none" w:sz="0" w:space="0" w:color="auto"/>
        <w:bottom w:val="none" w:sz="0" w:space="0" w:color="auto"/>
        <w:right w:val="none" w:sz="0" w:space="0" w:color="auto"/>
      </w:divBdr>
      <w:divsChild>
        <w:div w:id="1295327693">
          <w:marLeft w:val="0"/>
          <w:marRight w:val="0"/>
          <w:marTop w:val="0"/>
          <w:marBottom w:val="0"/>
          <w:divBdr>
            <w:top w:val="none" w:sz="0" w:space="0" w:color="auto"/>
            <w:left w:val="none" w:sz="0" w:space="0" w:color="auto"/>
            <w:bottom w:val="none" w:sz="0" w:space="0" w:color="auto"/>
            <w:right w:val="none" w:sz="0" w:space="0" w:color="auto"/>
          </w:divBdr>
          <w:divsChild>
            <w:div w:id="1499618896">
              <w:marLeft w:val="0"/>
              <w:marRight w:val="0"/>
              <w:marTop w:val="0"/>
              <w:marBottom w:val="0"/>
              <w:divBdr>
                <w:top w:val="none" w:sz="0" w:space="0" w:color="auto"/>
                <w:left w:val="none" w:sz="0" w:space="0" w:color="auto"/>
                <w:bottom w:val="none" w:sz="0" w:space="0" w:color="auto"/>
                <w:right w:val="none" w:sz="0" w:space="0" w:color="auto"/>
              </w:divBdr>
              <w:divsChild>
                <w:div w:id="814837283">
                  <w:marLeft w:val="0"/>
                  <w:marRight w:val="0"/>
                  <w:marTop w:val="0"/>
                  <w:marBottom w:val="0"/>
                  <w:divBdr>
                    <w:top w:val="none" w:sz="0" w:space="0" w:color="auto"/>
                    <w:left w:val="none" w:sz="0" w:space="0" w:color="auto"/>
                    <w:bottom w:val="none" w:sz="0" w:space="0" w:color="auto"/>
                    <w:right w:val="none" w:sz="0" w:space="0" w:color="auto"/>
                  </w:divBdr>
                  <w:divsChild>
                    <w:div w:id="197729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282984">
          <w:marLeft w:val="0"/>
          <w:marRight w:val="0"/>
          <w:marTop w:val="0"/>
          <w:marBottom w:val="0"/>
          <w:divBdr>
            <w:top w:val="none" w:sz="0" w:space="0" w:color="auto"/>
            <w:left w:val="none" w:sz="0" w:space="0" w:color="auto"/>
            <w:bottom w:val="none" w:sz="0" w:space="0" w:color="auto"/>
            <w:right w:val="none" w:sz="0" w:space="0" w:color="auto"/>
          </w:divBdr>
          <w:divsChild>
            <w:div w:id="548028768">
              <w:marLeft w:val="0"/>
              <w:marRight w:val="0"/>
              <w:marTop w:val="0"/>
              <w:marBottom w:val="0"/>
              <w:divBdr>
                <w:top w:val="none" w:sz="0" w:space="0" w:color="auto"/>
                <w:left w:val="none" w:sz="0" w:space="0" w:color="auto"/>
                <w:bottom w:val="none" w:sz="0" w:space="0" w:color="auto"/>
                <w:right w:val="none" w:sz="0" w:space="0" w:color="auto"/>
              </w:divBdr>
              <w:divsChild>
                <w:div w:id="1321810435">
                  <w:marLeft w:val="0"/>
                  <w:marRight w:val="0"/>
                  <w:marTop w:val="0"/>
                  <w:marBottom w:val="0"/>
                  <w:divBdr>
                    <w:top w:val="none" w:sz="0" w:space="0" w:color="auto"/>
                    <w:left w:val="none" w:sz="0" w:space="0" w:color="auto"/>
                    <w:bottom w:val="none" w:sz="0" w:space="0" w:color="auto"/>
                    <w:right w:val="none" w:sz="0" w:space="0" w:color="auto"/>
                  </w:divBdr>
                  <w:divsChild>
                    <w:div w:id="148597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8124302">
      <w:bodyDiv w:val="1"/>
      <w:marLeft w:val="0"/>
      <w:marRight w:val="0"/>
      <w:marTop w:val="0"/>
      <w:marBottom w:val="0"/>
      <w:divBdr>
        <w:top w:val="none" w:sz="0" w:space="0" w:color="auto"/>
        <w:left w:val="none" w:sz="0" w:space="0" w:color="auto"/>
        <w:bottom w:val="none" w:sz="0" w:space="0" w:color="auto"/>
        <w:right w:val="none" w:sz="0" w:space="0" w:color="auto"/>
      </w:divBdr>
    </w:div>
    <w:div w:id="588317601">
      <w:bodyDiv w:val="1"/>
      <w:marLeft w:val="0"/>
      <w:marRight w:val="0"/>
      <w:marTop w:val="0"/>
      <w:marBottom w:val="0"/>
      <w:divBdr>
        <w:top w:val="none" w:sz="0" w:space="0" w:color="auto"/>
        <w:left w:val="none" w:sz="0" w:space="0" w:color="auto"/>
        <w:bottom w:val="none" w:sz="0" w:space="0" w:color="auto"/>
        <w:right w:val="none" w:sz="0" w:space="0" w:color="auto"/>
      </w:divBdr>
    </w:div>
    <w:div w:id="591862929">
      <w:bodyDiv w:val="1"/>
      <w:marLeft w:val="0"/>
      <w:marRight w:val="0"/>
      <w:marTop w:val="0"/>
      <w:marBottom w:val="0"/>
      <w:divBdr>
        <w:top w:val="none" w:sz="0" w:space="0" w:color="auto"/>
        <w:left w:val="none" w:sz="0" w:space="0" w:color="auto"/>
        <w:bottom w:val="none" w:sz="0" w:space="0" w:color="auto"/>
        <w:right w:val="none" w:sz="0" w:space="0" w:color="auto"/>
      </w:divBdr>
    </w:div>
    <w:div w:id="592713246">
      <w:bodyDiv w:val="1"/>
      <w:marLeft w:val="0"/>
      <w:marRight w:val="0"/>
      <w:marTop w:val="0"/>
      <w:marBottom w:val="0"/>
      <w:divBdr>
        <w:top w:val="none" w:sz="0" w:space="0" w:color="auto"/>
        <w:left w:val="none" w:sz="0" w:space="0" w:color="auto"/>
        <w:bottom w:val="none" w:sz="0" w:space="0" w:color="auto"/>
        <w:right w:val="none" w:sz="0" w:space="0" w:color="auto"/>
      </w:divBdr>
    </w:div>
    <w:div w:id="596328408">
      <w:bodyDiv w:val="1"/>
      <w:marLeft w:val="0"/>
      <w:marRight w:val="0"/>
      <w:marTop w:val="0"/>
      <w:marBottom w:val="0"/>
      <w:divBdr>
        <w:top w:val="none" w:sz="0" w:space="0" w:color="auto"/>
        <w:left w:val="none" w:sz="0" w:space="0" w:color="auto"/>
        <w:bottom w:val="none" w:sz="0" w:space="0" w:color="auto"/>
        <w:right w:val="none" w:sz="0" w:space="0" w:color="auto"/>
      </w:divBdr>
      <w:divsChild>
        <w:div w:id="1838811888">
          <w:marLeft w:val="0"/>
          <w:marRight w:val="0"/>
          <w:marTop w:val="0"/>
          <w:marBottom w:val="0"/>
          <w:divBdr>
            <w:top w:val="none" w:sz="0" w:space="0" w:color="auto"/>
            <w:left w:val="none" w:sz="0" w:space="0" w:color="auto"/>
            <w:bottom w:val="none" w:sz="0" w:space="0" w:color="auto"/>
            <w:right w:val="none" w:sz="0" w:space="0" w:color="auto"/>
          </w:divBdr>
          <w:divsChild>
            <w:div w:id="1011759351">
              <w:marLeft w:val="0"/>
              <w:marRight w:val="0"/>
              <w:marTop w:val="0"/>
              <w:marBottom w:val="0"/>
              <w:divBdr>
                <w:top w:val="none" w:sz="0" w:space="0" w:color="auto"/>
                <w:left w:val="none" w:sz="0" w:space="0" w:color="auto"/>
                <w:bottom w:val="none" w:sz="0" w:space="0" w:color="auto"/>
                <w:right w:val="none" w:sz="0" w:space="0" w:color="auto"/>
              </w:divBdr>
              <w:divsChild>
                <w:div w:id="1778985818">
                  <w:marLeft w:val="0"/>
                  <w:marRight w:val="0"/>
                  <w:marTop w:val="0"/>
                  <w:marBottom w:val="0"/>
                  <w:divBdr>
                    <w:top w:val="none" w:sz="0" w:space="0" w:color="auto"/>
                    <w:left w:val="none" w:sz="0" w:space="0" w:color="auto"/>
                    <w:bottom w:val="none" w:sz="0" w:space="0" w:color="auto"/>
                    <w:right w:val="none" w:sz="0" w:space="0" w:color="auto"/>
                  </w:divBdr>
                  <w:divsChild>
                    <w:div w:id="1683318003">
                      <w:marLeft w:val="0"/>
                      <w:marRight w:val="0"/>
                      <w:marTop w:val="0"/>
                      <w:marBottom w:val="0"/>
                      <w:divBdr>
                        <w:top w:val="none" w:sz="0" w:space="0" w:color="auto"/>
                        <w:left w:val="none" w:sz="0" w:space="0" w:color="auto"/>
                        <w:bottom w:val="none" w:sz="0" w:space="0" w:color="auto"/>
                        <w:right w:val="none" w:sz="0" w:space="0" w:color="auto"/>
                      </w:divBdr>
                      <w:divsChild>
                        <w:div w:id="1827740076">
                          <w:marLeft w:val="0"/>
                          <w:marRight w:val="0"/>
                          <w:marTop w:val="0"/>
                          <w:marBottom w:val="0"/>
                          <w:divBdr>
                            <w:top w:val="none" w:sz="0" w:space="0" w:color="auto"/>
                            <w:left w:val="none" w:sz="0" w:space="0" w:color="auto"/>
                            <w:bottom w:val="none" w:sz="0" w:space="0" w:color="auto"/>
                            <w:right w:val="none" w:sz="0" w:space="0" w:color="auto"/>
                          </w:divBdr>
                          <w:divsChild>
                            <w:div w:id="1160190630">
                              <w:marLeft w:val="0"/>
                              <w:marRight w:val="0"/>
                              <w:marTop w:val="0"/>
                              <w:marBottom w:val="0"/>
                              <w:divBdr>
                                <w:top w:val="none" w:sz="0" w:space="0" w:color="auto"/>
                                <w:left w:val="none" w:sz="0" w:space="0" w:color="auto"/>
                                <w:bottom w:val="none" w:sz="0" w:space="0" w:color="auto"/>
                                <w:right w:val="none" w:sz="0" w:space="0" w:color="auto"/>
                              </w:divBdr>
                              <w:divsChild>
                                <w:div w:id="510877918">
                                  <w:marLeft w:val="0"/>
                                  <w:marRight w:val="0"/>
                                  <w:marTop w:val="0"/>
                                  <w:marBottom w:val="0"/>
                                  <w:divBdr>
                                    <w:top w:val="none" w:sz="0" w:space="0" w:color="auto"/>
                                    <w:left w:val="none" w:sz="0" w:space="0" w:color="auto"/>
                                    <w:bottom w:val="none" w:sz="0" w:space="0" w:color="auto"/>
                                    <w:right w:val="none" w:sz="0" w:space="0" w:color="auto"/>
                                  </w:divBdr>
                                  <w:divsChild>
                                    <w:div w:id="776103177">
                                      <w:marLeft w:val="0"/>
                                      <w:marRight w:val="0"/>
                                      <w:marTop w:val="0"/>
                                      <w:marBottom w:val="0"/>
                                      <w:divBdr>
                                        <w:top w:val="none" w:sz="0" w:space="0" w:color="auto"/>
                                        <w:left w:val="none" w:sz="0" w:space="0" w:color="auto"/>
                                        <w:bottom w:val="none" w:sz="0" w:space="0" w:color="auto"/>
                                        <w:right w:val="none" w:sz="0" w:space="0" w:color="auto"/>
                                      </w:divBdr>
                                      <w:divsChild>
                                        <w:div w:id="66927351">
                                          <w:marLeft w:val="0"/>
                                          <w:marRight w:val="0"/>
                                          <w:marTop w:val="0"/>
                                          <w:marBottom w:val="0"/>
                                          <w:divBdr>
                                            <w:top w:val="none" w:sz="0" w:space="0" w:color="auto"/>
                                            <w:left w:val="none" w:sz="0" w:space="0" w:color="auto"/>
                                            <w:bottom w:val="none" w:sz="0" w:space="0" w:color="auto"/>
                                            <w:right w:val="none" w:sz="0" w:space="0" w:color="auto"/>
                                          </w:divBdr>
                                          <w:divsChild>
                                            <w:div w:id="1271430955">
                                              <w:marLeft w:val="0"/>
                                              <w:marRight w:val="0"/>
                                              <w:marTop w:val="0"/>
                                              <w:marBottom w:val="0"/>
                                              <w:divBdr>
                                                <w:top w:val="none" w:sz="0" w:space="0" w:color="auto"/>
                                                <w:left w:val="none" w:sz="0" w:space="0" w:color="auto"/>
                                                <w:bottom w:val="none" w:sz="0" w:space="0" w:color="auto"/>
                                                <w:right w:val="none" w:sz="0" w:space="0" w:color="auto"/>
                                              </w:divBdr>
                                              <w:divsChild>
                                                <w:div w:id="1655790544">
                                                  <w:marLeft w:val="0"/>
                                                  <w:marRight w:val="0"/>
                                                  <w:marTop w:val="0"/>
                                                  <w:marBottom w:val="0"/>
                                                  <w:divBdr>
                                                    <w:top w:val="none" w:sz="0" w:space="0" w:color="auto"/>
                                                    <w:left w:val="none" w:sz="0" w:space="0" w:color="auto"/>
                                                    <w:bottom w:val="none" w:sz="0" w:space="0" w:color="auto"/>
                                                    <w:right w:val="none" w:sz="0" w:space="0" w:color="auto"/>
                                                  </w:divBdr>
                                                  <w:divsChild>
                                                    <w:div w:id="1436293861">
                                                      <w:marLeft w:val="0"/>
                                                      <w:marRight w:val="0"/>
                                                      <w:marTop w:val="0"/>
                                                      <w:marBottom w:val="0"/>
                                                      <w:divBdr>
                                                        <w:top w:val="none" w:sz="0" w:space="0" w:color="auto"/>
                                                        <w:left w:val="none" w:sz="0" w:space="0" w:color="auto"/>
                                                        <w:bottom w:val="none" w:sz="0" w:space="0" w:color="auto"/>
                                                        <w:right w:val="none" w:sz="0" w:space="0" w:color="auto"/>
                                                      </w:divBdr>
                                                      <w:divsChild>
                                                        <w:div w:id="209350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00435">
                                              <w:marLeft w:val="0"/>
                                              <w:marRight w:val="0"/>
                                              <w:marTop w:val="0"/>
                                              <w:marBottom w:val="0"/>
                                              <w:divBdr>
                                                <w:top w:val="none" w:sz="0" w:space="0" w:color="auto"/>
                                                <w:left w:val="none" w:sz="0" w:space="0" w:color="auto"/>
                                                <w:bottom w:val="none" w:sz="0" w:space="0" w:color="auto"/>
                                                <w:right w:val="none" w:sz="0" w:space="0" w:color="auto"/>
                                              </w:divBdr>
                                              <w:divsChild>
                                                <w:div w:id="1486389034">
                                                  <w:marLeft w:val="0"/>
                                                  <w:marRight w:val="0"/>
                                                  <w:marTop w:val="0"/>
                                                  <w:marBottom w:val="0"/>
                                                  <w:divBdr>
                                                    <w:top w:val="none" w:sz="0" w:space="0" w:color="auto"/>
                                                    <w:left w:val="none" w:sz="0" w:space="0" w:color="auto"/>
                                                    <w:bottom w:val="none" w:sz="0" w:space="0" w:color="auto"/>
                                                    <w:right w:val="none" w:sz="0" w:space="0" w:color="auto"/>
                                                  </w:divBdr>
                                                  <w:divsChild>
                                                    <w:div w:id="1934321246">
                                                      <w:marLeft w:val="0"/>
                                                      <w:marRight w:val="0"/>
                                                      <w:marTop w:val="0"/>
                                                      <w:marBottom w:val="0"/>
                                                      <w:divBdr>
                                                        <w:top w:val="none" w:sz="0" w:space="0" w:color="auto"/>
                                                        <w:left w:val="none" w:sz="0" w:space="0" w:color="auto"/>
                                                        <w:bottom w:val="none" w:sz="0" w:space="0" w:color="auto"/>
                                                        <w:right w:val="none" w:sz="0" w:space="0" w:color="auto"/>
                                                      </w:divBdr>
                                                      <w:divsChild>
                                                        <w:div w:id="92380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88896445">
          <w:marLeft w:val="0"/>
          <w:marRight w:val="0"/>
          <w:marTop w:val="0"/>
          <w:marBottom w:val="0"/>
          <w:divBdr>
            <w:top w:val="none" w:sz="0" w:space="0" w:color="auto"/>
            <w:left w:val="none" w:sz="0" w:space="0" w:color="auto"/>
            <w:bottom w:val="none" w:sz="0" w:space="0" w:color="auto"/>
            <w:right w:val="none" w:sz="0" w:space="0" w:color="auto"/>
          </w:divBdr>
          <w:divsChild>
            <w:div w:id="2009744879">
              <w:marLeft w:val="0"/>
              <w:marRight w:val="0"/>
              <w:marTop w:val="0"/>
              <w:marBottom w:val="0"/>
              <w:divBdr>
                <w:top w:val="none" w:sz="0" w:space="0" w:color="auto"/>
                <w:left w:val="none" w:sz="0" w:space="0" w:color="auto"/>
                <w:bottom w:val="none" w:sz="0" w:space="0" w:color="auto"/>
                <w:right w:val="none" w:sz="0" w:space="0" w:color="auto"/>
              </w:divBdr>
              <w:divsChild>
                <w:div w:id="357388827">
                  <w:marLeft w:val="0"/>
                  <w:marRight w:val="0"/>
                  <w:marTop w:val="0"/>
                  <w:marBottom w:val="0"/>
                  <w:divBdr>
                    <w:top w:val="none" w:sz="0" w:space="0" w:color="auto"/>
                    <w:left w:val="none" w:sz="0" w:space="0" w:color="auto"/>
                    <w:bottom w:val="none" w:sz="0" w:space="0" w:color="auto"/>
                    <w:right w:val="none" w:sz="0" w:space="0" w:color="auto"/>
                  </w:divBdr>
                  <w:divsChild>
                    <w:div w:id="2122724052">
                      <w:marLeft w:val="0"/>
                      <w:marRight w:val="0"/>
                      <w:marTop w:val="0"/>
                      <w:marBottom w:val="0"/>
                      <w:divBdr>
                        <w:top w:val="none" w:sz="0" w:space="0" w:color="auto"/>
                        <w:left w:val="none" w:sz="0" w:space="0" w:color="auto"/>
                        <w:bottom w:val="none" w:sz="0" w:space="0" w:color="auto"/>
                        <w:right w:val="none" w:sz="0" w:space="0" w:color="auto"/>
                      </w:divBdr>
                      <w:divsChild>
                        <w:div w:id="1106314293">
                          <w:marLeft w:val="0"/>
                          <w:marRight w:val="0"/>
                          <w:marTop w:val="0"/>
                          <w:marBottom w:val="0"/>
                          <w:divBdr>
                            <w:top w:val="none" w:sz="0" w:space="0" w:color="auto"/>
                            <w:left w:val="none" w:sz="0" w:space="0" w:color="auto"/>
                            <w:bottom w:val="none" w:sz="0" w:space="0" w:color="auto"/>
                            <w:right w:val="none" w:sz="0" w:space="0" w:color="auto"/>
                          </w:divBdr>
                          <w:divsChild>
                            <w:div w:id="820922958">
                              <w:marLeft w:val="0"/>
                              <w:marRight w:val="0"/>
                              <w:marTop w:val="0"/>
                              <w:marBottom w:val="0"/>
                              <w:divBdr>
                                <w:top w:val="none" w:sz="0" w:space="0" w:color="auto"/>
                                <w:left w:val="none" w:sz="0" w:space="0" w:color="auto"/>
                                <w:bottom w:val="none" w:sz="0" w:space="0" w:color="auto"/>
                                <w:right w:val="none" w:sz="0" w:space="0" w:color="auto"/>
                              </w:divBdr>
                              <w:divsChild>
                                <w:div w:id="1300917627">
                                  <w:marLeft w:val="0"/>
                                  <w:marRight w:val="0"/>
                                  <w:marTop w:val="0"/>
                                  <w:marBottom w:val="0"/>
                                  <w:divBdr>
                                    <w:top w:val="none" w:sz="0" w:space="0" w:color="auto"/>
                                    <w:left w:val="none" w:sz="0" w:space="0" w:color="auto"/>
                                    <w:bottom w:val="none" w:sz="0" w:space="0" w:color="auto"/>
                                    <w:right w:val="none" w:sz="0" w:space="0" w:color="auto"/>
                                  </w:divBdr>
                                  <w:divsChild>
                                    <w:div w:id="1691181845">
                                      <w:marLeft w:val="0"/>
                                      <w:marRight w:val="0"/>
                                      <w:marTop w:val="0"/>
                                      <w:marBottom w:val="0"/>
                                      <w:divBdr>
                                        <w:top w:val="none" w:sz="0" w:space="0" w:color="auto"/>
                                        <w:left w:val="none" w:sz="0" w:space="0" w:color="auto"/>
                                        <w:bottom w:val="none" w:sz="0" w:space="0" w:color="auto"/>
                                        <w:right w:val="none" w:sz="0" w:space="0" w:color="auto"/>
                                      </w:divBdr>
                                      <w:divsChild>
                                        <w:div w:id="866867991">
                                          <w:marLeft w:val="0"/>
                                          <w:marRight w:val="0"/>
                                          <w:marTop w:val="0"/>
                                          <w:marBottom w:val="0"/>
                                          <w:divBdr>
                                            <w:top w:val="none" w:sz="0" w:space="0" w:color="auto"/>
                                            <w:left w:val="none" w:sz="0" w:space="0" w:color="auto"/>
                                            <w:bottom w:val="none" w:sz="0" w:space="0" w:color="auto"/>
                                            <w:right w:val="none" w:sz="0" w:space="0" w:color="auto"/>
                                          </w:divBdr>
                                          <w:divsChild>
                                            <w:div w:id="1625648464">
                                              <w:marLeft w:val="0"/>
                                              <w:marRight w:val="0"/>
                                              <w:marTop w:val="0"/>
                                              <w:marBottom w:val="0"/>
                                              <w:divBdr>
                                                <w:top w:val="none" w:sz="0" w:space="0" w:color="auto"/>
                                                <w:left w:val="none" w:sz="0" w:space="0" w:color="auto"/>
                                                <w:bottom w:val="none" w:sz="0" w:space="0" w:color="auto"/>
                                                <w:right w:val="none" w:sz="0" w:space="0" w:color="auto"/>
                                              </w:divBdr>
                                              <w:divsChild>
                                                <w:div w:id="1156264749">
                                                  <w:marLeft w:val="0"/>
                                                  <w:marRight w:val="0"/>
                                                  <w:marTop w:val="0"/>
                                                  <w:marBottom w:val="0"/>
                                                  <w:divBdr>
                                                    <w:top w:val="none" w:sz="0" w:space="0" w:color="auto"/>
                                                    <w:left w:val="none" w:sz="0" w:space="0" w:color="auto"/>
                                                    <w:bottom w:val="none" w:sz="0" w:space="0" w:color="auto"/>
                                                    <w:right w:val="none" w:sz="0" w:space="0" w:color="auto"/>
                                                  </w:divBdr>
                                                  <w:divsChild>
                                                    <w:div w:id="559097600">
                                                      <w:marLeft w:val="0"/>
                                                      <w:marRight w:val="0"/>
                                                      <w:marTop w:val="0"/>
                                                      <w:marBottom w:val="0"/>
                                                      <w:divBdr>
                                                        <w:top w:val="none" w:sz="0" w:space="0" w:color="auto"/>
                                                        <w:left w:val="none" w:sz="0" w:space="0" w:color="auto"/>
                                                        <w:bottom w:val="none" w:sz="0" w:space="0" w:color="auto"/>
                                                        <w:right w:val="none" w:sz="0" w:space="0" w:color="auto"/>
                                                      </w:divBdr>
                                                      <w:divsChild>
                                                        <w:div w:id="35523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964338">
                                              <w:marLeft w:val="0"/>
                                              <w:marRight w:val="0"/>
                                              <w:marTop w:val="0"/>
                                              <w:marBottom w:val="0"/>
                                              <w:divBdr>
                                                <w:top w:val="none" w:sz="0" w:space="0" w:color="auto"/>
                                                <w:left w:val="none" w:sz="0" w:space="0" w:color="auto"/>
                                                <w:bottom w:val="none" w:sz="0" w:space="0" w:color="auto"/>
                                                <w:right w:val="none" w:sz="0" w:space="0" w:color="auto"/>
                                              </w:divBdr>
                                            </w:div>
                                          </w:divsChild>
                                        </w:div>
                                        <w:div w:id="1989045595">
                                          <w:marLeft w:val="0"/>
                                          <w:marRight w:val="0"/>
                                          <w:marTop w:val="0"/>
                                          <w:marBottom w:val="0"/>
                                          <w:divBdr>
                                            <w:top w:val="none" w:sz="0" w:space="0" w:color="auto"/>
                                            <w:left w:val="none" w:sz="0" w:space="0" w:color="auto"/>
                                            <w:bottom w:val="none" w:sz="0" w:space="0" w:color="auto"/>
                                            <w:right w:val="none" w:sz="0" w:space="0" w:color="auto"/>
                                          </w:divBdr>
                                          <w:divsChild>
                                            <w:div w:id="1179810981">
                                              <w:marLeft w:val="0"/>
                                              <w:marRight w:val="0"/>
                                              <w:marTop w:val="0"/>
                                              <w:marBottom w:val="0"/>
                                              <w:divBdr>
                                                <w:top w:val="none" w:sz="0" w:space="0" w:color="auto"/>
                                                <w:left w:val="none" w:sz="0" w:space="0" w:color="auto"/>
                                                <w:bottom w:val="none" w:sz="0" w:space="0" w:color="auto"/>
                                                <w:right w:val="none" w:sz="0" w:space="0" w:color="auto"/>
                                              </w:divBdr>
                                              <w:divsChild>
                                                <w:div w:id="1321156177">
                                                  <w:marLeft w:val="0"/>
                                                  <w:marRight w:val="0"/>
                                                  <w:marTop w:val="0"/>
                                                  <w:marBottom w:val="0"/>
                                                  <w:divBdr>
                                                    <w:top w:val="none" w:sz="0" w:space="0" w:color="auto"/>
                                                    <w:left w:val="none" w:sz="0" w:space="0" w:color="auto"/>
                                                    <w:bottom w:val="none" w:sz="0" w:space="0" w:color="auto"/>
                                                    <w:right w:val="none" w:sz="0" w:space="0" w:color="auto"/>
                                                  </w:divBdr>
                                                  <w:divsChild>
                                                    <w:div w:id="26175911">
                                                      <w:marLeft w:val="0"/>
                                                      <w:marRight w:val="0"/>
                                                      <w:marTop w:val="0"/>
                                                      <w:marBottom w:val="0"/>
                                                      <w:divBdr>
                                                        <w:top w:val="none" w:sz="0" w:space="0" w:color="auto"/>
                                                        <w:left w:val="none" w:sz="0" w:space="0" w:color="auto"/>
                                                        <w:bottom w:val="none" w:sz="0" w:space="0" w:color="auto"/>
                                                        <w:right w:val="none" w:sz="0" w:space="0" w:color="auto"/>
                                                      </w:divBdr>
                                                      <w:divsChild>
                                                        <w:div w:id="33242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03640812">
                  <w:marLeft w:val="0"/>
                  <w:marRight w:val="0"/>
                  <w:marTop w:val="0"/>
                  <w:marBottom w:val="0"/>
                  <w:divBdr>
                    <w:top w:val="none" w:sz="0" w:space="0" w:color="auto"/>
                    <w:left w:val="none" w:sz="0" w:space="0" w:color="auto"/>
                    <w:bottom w:val="none" w:sz="0" w:space="0" w:color="auto"/>
                    <w:right w:val="none" w:sz="0" w:space="0" w:color="auto"/>
                  </w:divBdr>
                  <w:divsChild>
                    <w:div w:id="1890336431">
                      <w:marLeft w:val="0"/>
                      <w:marRight w:val="0"/>
                      <w:marTop w:val="0"/>
                      <w:marBottom w:val="0"/>
                      <w:divBdr>
                        <w:top w:val="none" w:sz="0" w:space="0" w:color="auto"/>
                        <w:left w:val="none" w:sz="0" w:space="0" w:color="auto"/>
                        <w:bottom w:val="none" w:sz="0" w:space="0" w:color="auto"/>
                        <w:right w:val="none" w:sz="0" w:space="0" w:color="auto"/>
                      </w:divBdr>
                      <w:divsChild>
                        <w:div w:id="196210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6408824">
      <w:bodyDiv w:val="1"/>
      <w:marLeft w:val="0"/>
      <w:marRight w:val="0"/>
      <w:marTop w:val="0"/>
      <w:marBottom w:val="0"/>
      <w:divBdr>
        <w:top w:val="none" w:sz="0" w:space="0" w:color="auto"/>
        <w:left w:val="none" w:sz="0" w:space="0" w:color="auto"/>
        <w:bottom w:val="none" w:sz="0" w:space="0" w:color="auto"/>
        <w:right w:val="none" w:sz="0" w:space="0" w:color="auto"/>
      </w:divBdr>
    </w:div>
    <w:div w:id="611592757">
      <w:bodyDiv w:val="1"/>
      <w:marLeft w:val="0"/>
      <w:marRight w:val="0"/>
      <w:marTop w:val="0"/>
      <w:marBottom w:val="0"/>
      <w:divBdr>
        <w:top w:val="none" w:sz="0" w:space="0" w:color="auto"/>
        <w:left w:val="none" w:sz="0" w:space="0" w:color="auto"/>
        <w:bottom w:val="none" w:sz="0" w:space="0" w:color="auto"/>
        <w:right w:val="none" w:sz="0" w:space="0" w:color="auto"/>
      </w:divBdr>
    </w:div>
    <w:div w:id="613825941">
      <w:bodyDiv w:val="1"/>
      <w:marLeft w:val="0"/>
      <w:marRight w:val="0"/>
      <w:marTop w:val="0"/>
      <w:marBottom w:val="0"/>
      <w:divBdr>
        <w:top w:val="none" w:sz="0" w:space="0" w:color="auto"/>
        <w:left w:val="none" w:sz="0" w:space="0" w:color="auto"/>
        <w:bottom w:val="none" w:sz="0" w:space="0" w:color="auto"/>
        <w:right w:val="none" w:sz="0" w:space="0" w:color="auto"/>
      </w:divBdr>
    </w:div>
    <w:div w:id="613950702">
      <w:bodyDiv w:val="1"/>
      <w:marLeft w:val="0"/>
      <w:marRight w:val="0"/>
      <w:marTop w:val="0"/>
      <w:marBottom w:val="0"/>
      <w:divBdr>
        <w:top w:val="none" w:sz="0" w:space="0" w:color="auto"/>
        <w:left w:val="none" w:sz="0" w:space="0" w:color="auto"/>
        <w:bottom w:val="none" w:sz="0" w:space="0" w:color="auto"/>
        <w:right w:val="none" w:sz="0" w:space="0" w:color="auto"/>
      </w:divBdr>
      <w:divsChild>
        <w:div w:id="1841504247">
          <w:marLeft w:val="0"/>
          <w:marRight w:val="0"/>
          <w:marTop w:val="0"/>
          <w:marBottom w:val="0"/>
          <w:divBdr>
            <w:top w:val="none" w:sz="0" w:space="0" w:color="auto"/>
            <w:left w:val="none" w:sz="0" w:space="0" w:color="auto"/>
            <w:bottom w:val="none" w:sz="0" w:space="0" w:color="auto"/>
            <w:right w:val="none" w:sz="0" w:space="0" w:color="auto"/>
          </w:divBdr>
          <w:divsChild>
            <w:div w:id="1997418759">
              <w:marLeft w:val="0"/>
              <w:marRight w:val="0"/>
              <w:marTop w:val="0"/>
              <w:marBottom w:val="0"/>
              <w:divBdr>
                <w:top w:val="none" w:sz="0" w:space="0" w:color="auto"/>
                <w:left w:val="none" w:sz="0" w:space="0" w:color="auto"/>
                <w:bottom w:val="none" w:sz="0" w:space="0" w:color="auto"/>
                <w:right w:val="none" w:sz="0" w:space="0" w:color="auto"/>
              </w:divBdr>
              <w:divsChild>
                <w:div w:id="386758244">
                  <w:marLeft w:val="0"/>
                  <w:marRight w:val="0"/>
                  <w:marTop w:val="0"/>
                  <w:marBottom w:val="0"/>
                  <w:divBdr>
                    <w:top w:val="none" w:sz="0" w:space="0" w:color="auto"/>
                    <w:left w:val="none" w:sz="0" w:space="0" w:color="auto"/>
                    <w:bottom w:val="none" w:sz="0" w:space="0" w:color="auto"/>
                    <w:right w:val="none" w:sz="0" w:space="0" w:color="auto"/>
                  </w:divBdr>
                  <w:divsChild>
                    <w:div w:id="788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607821">
          <w:marLeft w:val="0"/>
          <w:marRight w:val="0"/>
          <w:marTop w:val="0"/>
          <w:marBottom w:val="0"/>
          <w:divBdr>
            <w:top w:val="none" w:sz="0" w:space="0" w:color="auto"/>
            <w:left w:val="none" w:sz="0" w:space="0" w:color="auto"/>
            <w:bottom w:val="none" w:sz="0" w:space="0" w:color="auto"/>
            <w:right w:val="none" w:sz="0" w:space="0" w:color="auto"/>
          </w:divBdr>
          <w:divsChild>
            <w:div w:id="1482385801">
              <w:marLeft w:val="0"/>
              <w:marRight w:val="0"/>
              <w:marTop w:val="0"/>
              <w:marBottom w:val="0"/>
              <w:divBdr>
                <w:top w:val="none" w:sz="0" w:space="0" w:color="auto"/>
                <w:left w:val="none" w:sz="0" w:space="0" w:color="auto"/>
                <w:bottom w:val="none" w:sz="0" w:space="0" w:color="auto"/>
                <w:right w:val="none" w:sz="0" w:space="0" w:color="auto"/>
              </w:divBdr>
              <w:divsChild>
                <w:div w:id="1961958104">
                  <w:marLeft w:val="0"/>
                  <w:marRight w:val="0"/>
                  <w:marTop w:val="0"/>
                  <w:marBottom w:val="0"/>
                  <w:divBdr>
                    <w:top w:val="none" w:sz="0" w:space="0" w:color="auto"/>
                    <w:left w:val="none" w:sz="0" w:space="0" w:color="auto"/>
                    <w:bottom w:val="none" w:sz="0" w:space="0" w:color="auto"/>
                    <w:right w:val="none" w:sz="0" w:space="0" w:color="auto"/>
                  </w:divBdr>
                  <w:divsChild>
                    <w:div w:id="16924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956306">
      <w:bodyDiv w:val="1"/>
      <w:marLeft w:val="0"/>
      <w:marRight w:val="0"/>
      <w:marTop w:val="0"/>
      <w:marBottom w:val="0"/>
      <w:divBdr>
        <w:top w:val="none" w:sz="0" w:space="0" w:color="auto"/>
        <w:left w:val="none" w:sz="0" w:space="0" w:color="auto"/>
        <w:bottom w:val="none" w:sz="0" w:space="0" w:color="auto"/>
        <w:right w:val="none" w:sz="0" w:space="0" w:color="auto"/>
      </w:divBdr>
    </w:div>
    <w:div w:id="631206422">
      <w:bodyDiv w:val="1"/>
      <w:marLeft w:val="0"/>
      <w:marRight w:val="0"/>
      <w:marTop w:val="0"/>
      <w:marBottom w:val="0"/>
      <w:divBdr>
        <w:top w:val="none" w:sz="0" w:space="0" w:color="auto"/>
        <w:left w:val="none" w:sz="0" w:space="0" w:color="auto"/>
        <w:bottom w:val="none" w:sz="0" w:space="0" w:color="auto"/>
        <w:right w:val="none" w:sz="0" w:space="0" w:color="auto"/>
      </w:divBdr>
      <w:divsChild>
        <w:div w:id="913196719">
          <w:marLeft w:val="0"/>
          <w:marRight w:val="0"/>
          <w:marTop w:val="0"/>
          <w:marBottom w:val="0"/>
          <w:divBdr>
            <w:top w:val="none" w:sz="0" w:space="0" w:color="auto"/>
            <w:left w:val="none" w:sz="0" w:space="0" w:color="auto"/>
            <w:bottom w:val="none" w:sz="0" w:space="0" w:color="auto"/>
            <w:right w:val="none" w:sz="0" w:space="0" w:color="auto"/>
          </w:divBdr>
        </w:div>
        <w:div w:id="37777697">
          <w:marLeft w:val="0"/>
          <w:marRight w:val="0"/>
          <w:marTop w:val="0"/>
          <w:marBottom w:val="0"/>
          <w:divBdr>
            <w:top w:val="none" w:sz="0" w:space="0" w:color="auto"/>
            <w:left w:val="none" w:sz="0" w:space="0" w:color="auto"/>
            <w:bottom w:val="none" w:sz="0" w:space="0" w:color="auto"/>
            <w:right w:val="none" w:sz="0" w:space="0" w:color="auto"/>
          </w:divBdr>
        </w:div>
      </w:divsChild>
    </w:div>
    <w:div w:id="631710291">
      <w:bodyDiv w:val="1"/>
      <w:marLeft w:val="0"/>
      <w:marRight w:val="0"/>
      <w:marTop w:val="0"/>
      <w:marBottom w:val="0"/>
      <w:divBdr>
        <w:top w:val="none" w:sz="0" w:space="0" w:color="auto"/>
        <w:left w:val="none" w:sz="0" w:space="0" w:color="auto"/>
        <w:bottom w:val="none" w:sz="0" w:space="0" w:color="auto"/>
        <w:right w:val="none" w:sz="0" w:space="0" w:color="auto"/>
      </w:divBdr>
    </w:div>
    <w:div w:id="634527844">
      <w:bodyDiv w:val="1"/>
      <w:marLeft w:val="0"/>
      <w:marRight w:val="0"/>
      <w:marTop w:val="0"/>
      <w:marBottom w:val="0"/>
      <w:divBdr>
        <w:top w:val="none" w:sz="0" w:space="0" w:color="auto"/>
        <w:left w:val="none" w:sz="0" w:space="0" w:color="auto"/>
        <w:bottom w:val="none" w:sz="0" w:space="0" w:color="auto"/>
        <w:right w:val="none" w:sz="0" w:space="0" w:color="auto"/>
      </w:divBdr>
    </w:div>
    <w:div w:id="646250835">
      <w:bodyDiv w:val="1"/>
      <w:marLeft w:val="0"/>
      <w:marRight w:val="0"/>
      <w:marTop w:val="0"/>
      <w:marBottom w:val="0"/>
      <w:divBdr>
        <w:top w:val="none" w:sz="0" w:space="0" w:color="auto"/>
        <w:left w:val="none" w:sz="0" w:space="0" w:color="auto"/>
        <w:bottom w:val="none" w:sz="0" w:space="0" w:color="auto"/>
        <w:right w:val="none" w:sz="0" w:space="0" w:color="auto"/>
      </w:divBdr>
    </w:div>
    <w:div w:id="649288101">
      <w:bodyDiv w:val="1"/>
      <w:marLeft w:val="0"/>
      <w:marRight w:val="0"/>
      <w:marTop w:val="0"/>
      <w:marBottom w:val="0"/>
      <w:divBdr>
        <w:top w:val="none" w:sz="0" w:space="0" w:color="auto"/>
        <w:left w:val="none" w:sz="0" w:space="0" w:color="auto"/>
        <w:bottom w:val="none" w:sz="0" w:space="0" w:color="auto"/>
        <w:right w:val="none" w:sz="0" w:space="0" w:color="auto"/>
      </w:divBdr>
    </w:div>
    <w:div w:id="657656481">
      <w:bodyDiv w:val="1"/>
      <w:marLeft w:val="0"/>
      <w:marRight w:val="0"/>
      <w:marTop w:val="0"/>
      <w:marBottom w:val="0"/>
      <w:divBdr>
        <w:top w:val="none" w:sz="0" w:space="0" w:color="auto"/>
        <w:left w:val="none" w:sz="0" w:space="0" w:color="auto"/>
        <w:bottom w:val="none" w:sz="0" w:space="0" w:color="auto"/>
        <w:right w:val="none" w:sz="0" w:space="0" w:color="auto"/>
      </w:divBdr>
    </w:div>
    <w:div w:id="664355033">
      <w:bodyDiv w:val="1"/>
      <w:marLeft w:val="0"/>
      <w:marRight w:val="0"/>
      <w:marTop w:val="0"/>
      <w:marBottom w:val="0"/>
      <w:divBdr>
        <w:top w:val="none" w:sz="0" w:space="0" w:color="auto"/>
        <w:left w:val="none" w:sz="0" w:space="0" w:color="auto"/>
        <w:bottom w:val="none" w:sz="0" w:space="0" w:color="auto"/>
        <w:right w:val="none" w:sz="0" w:space="0" w:color="auto"/>
      </w:divBdr>
    </w:div>
    <w:div w:id="675115467">
      <w:bodyDiv w:val="1"/>
      <w:marLeft w:val="0"/>
      <w:marRight w:val="0"/>
      <w:marTop w:val="0"/>
      <w:marBottom w:val="0"/>
      <w:divBdr>
        <w:top w:val="none" w:sz="0" w:space="0" w:color="auto"/>
        <w:left w:val="none" w:sz="0" w:space="0" w:color="auto"/>
        <w:bottom w:val="none" w:sz="0" w:space="0" w:color="auto"/>
        <w:right w:val="none" w:sz="0" w:space="0" w:color="auto"/>
      </w:divBdr>
      <w:divsChild>
        <w:div w:id="795372127">
          <w:marLeft w:val="0"/>
          <w:marRight w:val="0"/>
          <w:marTop w:val="0"/>
          <w:marBottom w:val="0"/>
          <w:divBdr>
            <w:top w:val="none" w:sz="0" w:space="0" w:color="auto"/>
            <w:left w:val="none" w:sz="0" w:space="0" w:color="auto"/>
            <w:bottom w:val="none" w:sz="0" w:space="0" w:color="auto"/>
            <w:right w:val="none" w:sz="0" w:space="0" w:color="auto"/>
          </w:divBdr>
          <w:divsChild>
            <w:div w:id="730268250">
              <w:marLeft w:val="0"/>
              <w:marRight w:val="0"/>
              <w:marTop w:val="0"/>
              <w:marBottom w:val="0"/>
              <w:divBdr>
                <w:top w:val="none" w:sz="0" w:space="0" w:color="auto"/>
                <w:left w:val="none" w:sz="0" w:space="0" w:color="auto"/>
                <w:bottom w:val="none" w:sz="0" w:space="0" w:color="auto"/>
                <w:right w:val="none" w:sz="0" w:space="0" w:color="auto"/>
              </w:divBdr>
              <w:divsChild>
                <w:div w:id="1748379775">
                  <w:marLeft w:val="0"/>
                  <w:marRight w:val="0"/>
                  <w:marTop w:val="0"/>
                  <w:marBottom w:val="0"/>
                  <w:divBdr>
                    <w:top w:val="none" w:sz="0" w:space="0" w:color="auto"/>
                    <w:left w:val="none" w:sz="0" w:space="0" w:color="auto"/>
                    <w:bottom w:val="none" w:sz="0" w:space="0" w:color="auto"/>
                    <w:right w:val="none" w:sz="0" w:space="0" w:color="auto"/>
                  </w:divBdr>
                  <w:divsChild>
                    <w:div w:id="36603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883831">
          <w:marLeft w:val="0"/>
          <w:marRight w:val="0"/>
          <w:marTop w:val="0"/>
          <w:marBottom w:val="0"/>
          <w:divBdr>
            <w:top w:val="none" w:sz="0" w:space="0" w:color="auto"/>
            <w:left w:val="none" w:sz="0" w:space="0" w:color="auto"/>
            <w:bottom w:val="none" w:sz="0" w:space="0" w:color="auto"/>
            <w:right w:val="none" w:sz="0" w:space="0" w:color="auto"/>
          </w:divBdr>
          <w:divsChild>
            <w:div w:id="2083066965">
              <w:marLeft w:val="0"/>
              <w:marRight w:val="0"/>
              <w:marTop w:val="0"/>
              <w:marBottom w:val="0"/>
              <w:divBdr>
                <w:top w:val="none" w:sz="0" w:space="0" w:color="auto"/>
                <w:left w:val="none" w:sz="0" w:space="0" w:color="auto"/>
                <w:bottom w:val="none" w:sz="0" w:space="0" w:color="auto"/>
                <w:right w:val="none" w:sz="0" w:space="0" w:color="auto"/>
              </w:divBdr>
              <w:divsChild>
                <w:div w:id="475417225">
                  <w:marLeft w:val="0"/>
                  <w:marRight w:val="0"/>
                  <w:marTop w:val="0"/>
                  <w:marBottom w:val="0"/>
                  <w:divBdr>
                    <w:top w:val="none" w:sz="0" w:space="0" w:color="auto"/>
                    <w:left w:val="none" w:sz="0" w:space="0" w:color="auto"/>
                    <w:bottom w:val="none" w:sz="0" w:space="0" w:color="auto"/>
                    <w:right w:val="none" w:sz="0" w:space="0" w:color="auto"/>
                  </w:divBdr>
                  <w:divsChild>
                    <w:div w:id="15693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8586172">
      <w:bodyDiv w:val="1"/>
      <w:marLeft w:val="0"/>
      <w:marRight w:val="0"/>
      <w:marTop w:val="0"/>
      <w:marBottom w:val="0"/>
      <w:divBdr>
        <w:top w:val="none" w:sz="0" w:space="0" w:color="auto"/>
        <w:left w:val="none" w:sz="0" w:space="0" w:color="auto"/>
        <w:bottom w:val="none" w:sz="0" w:space="0" w:color="auto"/>
        <w:right w:val="none" w:sz="0" w:space="0" w:color="auto"/>
      </w:divBdr>
    </w:div>
    <w:div w:id="697050739">
      <w:bodyDiv w:val="1"/>
      <w:marLeft w:val="0"/>
      <w:marRight w:val="0"/>
      <w:marTop w:val="0"/>
      <w:marBottom w:val="0"/>
      <w:divBdr>
        <w:top w:val="none" w:sz="0" w:space="0" w:color="auto"/>
        <w:left w:val="none" w:sz="0" w:space="0" w:color="auto"/>
        <w:bottom w:val="none" w:sz="0" w:space="0" w:color="auto"/>
        <w:right w:val="none" w:sz="0" w:space="0" w:color="auto"/>
      </w:divBdr>
    </w:div>
    <w:div w:id="700059897">
      <w:bodyDiv w:val="1"/>
      <w:marLeft w:val="0"/>
      <w:marRight w:val="0"/>
      <w:marTop w:val="0"/>
      <w:marBottom w:val="0"/>
      <w:divBdr>
        <w:top w:val="none" w:sz="0" w:space="0" w:color="auto"/>
        <w:left w:val="none" w:sz="0" w:space="0" w:color="auto"/>
        <w:bottom w:val="none" w:sz="0" w:space="0" w:color="auto"/>
        <w:right w:val="none" w:sz="0" w:space="0" w:color="auto"/>
      </w:divBdr>
    </w:div>
    <w:div w:id="705326411">
      <w:bodyDiv w:val="1"/>
      <w:marLeft w:val="0"/>
      <w:marRight w:val="0"/>
      <w:marTop w:val="0"/>
      <w:marBottom w:val="0"/>
      <w:divBdr>
        <w:top w:val="none" w:sz="0" w:space="0" w:color="auto"/>
        <w:left w:val="none" w:sz="0" w:space="0" w:color="auto"/>
        <w:bottom w:val="none" w:sz="0" w:space="0" w:color="auto"/>
        <w:right w:val="none" w:sz="0" w:space="0" w:color="auto"/>
      </w:divBdr>
    </w:div>
    <w:div w:id="713504423">
      <w:bodyDiv w:val="1"/>
      <w:marLeft w:val="0"/>
      <w:marRight w:val="0"/>
      <w:marTop w:val="0"/>
      <w:marBottom w:val="0"/>
      <w:divBdr>
        <w:top w:val="none" w:sz="0" w:space="0" w:color="auto"/>
        <w:left w:val="none" w:sz="0" w:space="0" w:color="auto"/>
        <w:bottom w:val="none" w:sz="0" w:space="0" w:color="auto"/>
        <w:right w:val="none" w:sz="0" w:space="0" w:color="auto"/>
      </w:divBdr>
      <w:divsChild>
        <w:div w:id="171796530">
          <w:marLeft w:val="0"/>
          <w:marRight w:val="0"/>
          <w:marTop w:val="0"/>
          <w:marBottom w:val="0"/>
          <w:divBdr>
            <w:top w:val="none" w:sz="0" w:space="0" w:color="auto"/>
            <w:left w:val="none" w:sz="0" w:space="0" w:color="auto"/>
            <w:bottom w:val="none" w:sz="0" w:space="0" w:color="auto"/>
            <w:right w:val="none" w:sz="0" w:space="0" w:color="auto"/>
          </w:divBdr>
        </w:div>
        <w:div w:id="1651708196">
          <w:marLeft w:val="0"/>
          <w:marRight w:val="0"/>
          <w:marTop w:val="0"/>
          <w:marBottom w:val="0"/>
          <w:divBdr>
            <w:top w:val="none" w:sz="0" w:space="0" w:color="auto"/>
            <w:left w:val="none" w:sz="0" w:space="0" w:color="auto"/>
            <w:bottom w:val="none" w:sz="0" w:space="0" w:color="auto"/>
            <w:right w:val="none" w:sz="0" w:space="0" w:color="auto"/>
          </w:divBdr>
        </w:div>
      </w:divsChild>
    </w:div>
    <w:div w:id="715349829">
      <w:bodyDiv w:val="1"/>
      <w:marLeft w:val="0"/>
      <w:marRight w:val="0"/>
      <w:marTop w:val="0"/>
      <w:marBottom w:val="0"/>
      <w:divBdr>
        <w:top w:val="none" w:sz="0" w:space="0" w:color="auto"/>
        <w:left w:val="none" w:sz="0" w:space="0" w:color="auto"/>
        <w:bottom w:val="none" w:sz="0" w:space="0" w:color="auto"/>
        <w:right w:val="none" w:sz="0" w:space="0" w:color="auto"/>
      </w:divBdr>
      <w:divsChild>
        <w:div w:id="2022968318">
          <w:marLeft w:val="0"/>
          <w:marRight w:val="0"/>
          <w:marTop w:val="0"/>
          <w:marBottom w:val="0"/>
          <w:divBdr>
            <w:top w:val="none" w:sz="0" w:space="0" w:color="auto"/>
            <w:left w:val="none" w:sz="0" w:space="0" w:color="auto"/>
            <w:bottom w:val="none" w:sz="0" w:space="0" w:color="auto"/>
            <w:right w:val="none" w:sz="0" w:space="0" w:color="auto"/>
          </w:divBdr>
          <w:divsChild>
            <w:div w:id="1206916564">
              <w:marLeft w:val="0"/>
              <w:marRight w:val="0"/>
              <w:marTop w:val="0"/>
              <w:marBottom w:val="0"/>
              <w:divBdr>
                <w:top w:val="none" w:sz="0" w:space="0" w:color="auto"/>
                <w:left w:val="none" w:sz="0" w:space="0" w:color="auto"/>
                <w:bottom w:val="none" w:sz="0" w:space="0" w:color="auto"/>
                <w:right w:val="none" w:sz="0" w:space="0" w:color="auto"/>
              </w:divBdr>
              <w:divsChild>
                <w:div w:id="696780242">
                  <w:marLeft w:val="0"/>
                  <w:marRight w:val="0"/>
                  <w:marTop w:val="0"/>
                  <w:marBottom w:val="0"/>
                  <w:divBdr>
                    <w:top w:val="none" w:sz="0" w:space="0" w:color="auto"/>
                    <w:left w:val="none" w:sz="0" w:space="0" w:color="auto"/>
                    <w:bottom w:val="none" w:sz="0" w:space="0" w:color="auto"/>
                    <w:right w:val="none" w:sz="0" w:space="0" w:color="auto"/>
                  </w:divBdr>
                  <w:divsChild>
                    <w:div w:id="106977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1750629">
      <w:bodyDiv w:val="1"/>
      <w:marLeft w:val="0"/>
      <w:marRight w:val="0"/>
      <w:marTop w:val="0"/>
      <w:marBottom w:val="0"/>
      <w:divBdr>
        <w:top w:val="none" w:sz="0" w:space="0" w:color="auto"/>
        <w:left w:val="none" w:sz="0" w:space="0" w:color="auto"/>
        <w:bottom w:val="none" w:sz="0" w:space="0" w:color="auto"/>
        <w:right w:val="none" w:sz="0" w:space="0" w:color="auto"/>
      </w:divBdr>
    </w:div>
    <w:div w:id="722481495">
      <w:bodyDiv w:val="1"/>
      <w:marLeft w:val="0"/>
      <w:marRight w:val="0"/>
      <w:marTop w:val="0"/>
      <w:marBottom w:val="0"/>
      <w:divBdr>
        <w:top w:val="none" w:sz="0" w:space="0" w:color="auto"/>
        <w:left w:val="none" w:sz="0" w:space="0" w:color="auto"/>
        <w:bottom w:val="none" w:sz="0" w:space="0" w:color="auto"/>
        <w:right w:val="none" w:sz="0" w:space="0" w:color="auto"/>
      </w:divBdr>
      <w:divsChild>
        <w:div w:id="1499534541">
          <w:marLeft w:val="360"/>
          <w:marRight w:val="0"/>
          <w:marTop w:val="200"/>
          <w:marBottom w:val="0"/>
          <w:divBdr>
            <w:top w:val="none" w:sz="0" w:space="0" w:color="auto"/>
            <w:left w:val="none" w:sz="0" w:space="0" w:color="auto"/>
            <w:bottom w:val="none" w:sz="0" w:space="0" w:color="auto"/>
            <w:right w:val="none" w:sz="0" w:space="0" w:color="auto"/>
          </w:divBdr>
        </w:div>
        <w:div w:id="1545288726">
          <w:marLeft w:val="360"/>
          <w:marRight w:val="0"/>
          <w:marTop w:val="200"/>
          <w:marBottom w:val="0"/>
          <w:divBdr>
            <w:top w:val="none" w:sz="0" w:space="0" w:color="auto"/>
            <w:left w:val="none" w:sz="0" w:space="0" w:color="auto"/>
            <w:bottom w:val="none" w:sz="0" w:space="0" w:color="auto"/>
            <w:right w:val="none" w:sz="0" w:space="0" w:color="auto"/>
          </w:divBdr>
        </w:div>
        <w:div w:id="1670987184">
          <w:marLeft w:val="360"/>
          <w:marRight w:val="0"/>
          <w:marTop w:val="200"/>
          <w:marBottom w:val="0"/>
          <w:divBdr>
            <w:top w:val="none" w:sz="0" w:space="0" w:color="auto"/>
            <w:left w:val="none" w:sz="0" w:space="0" w:color="auto"/>
            <w:bottom w:val="none" w:sz="0" w:space="0" w:color="auto"/>
            <w:right w:val="none" w:sz="0" w:space="0" w:color="auto"/>
          </w:divBdr>
        </w:div>
        <w:div w:id="1512573122">
          <w:marLeft w:val="360"/>
          <w:marRight w:val="0"/>
          <w:marTop w:val="200"/>
          <w:marBottom w:val="0"/>
          <w:divBdr>
            <w:top w:val="none" w:sz="0" w:space="0" w:color="auto"/>
            <w:left w:val="none" w:sz="0" w:space="0" w:color="auto"/>
            <w:bottom w:val="none" w:sz="0" w:space="0" w:color="auto"/>
            <w:right w:val="none" w:sz="0" w:space="0" w:color="auto"/>
          </w:divBdr>
        </w:div>
        <w:div w:id="2031639775">
          <w:marLeft w:val="360"/>
          <w:marRight w:val="0"/>
          <w:marTop w:val="200"/>
          <w:marBottom w:val="0"/>
          <w:divBdr>
            <w:top w:val="none" w:sz="0" w:space="0" w:color="auto"/>
            <w:left w:val="none" w:sz="0" w:space="0" w:color="auto"/>
            <w:bottom w:val="none" w:sz="0" w:space="0" w:color="auto"/>
            <w:right w:val="none" w:sz="0" w:space="0" w:color="auto"/>
          </w:divBdr>
        </w:div>
        <w:div w:id="1445928664">
          <w:marLeft w:val="360"/>
          <w:marRight w:val="0"/>
          <w:marTop w:val="200"/>
          <w:marBottom w:val="0"/>
          <w:divBdr>
            <w:top w:val="none" w:sz="0" w:space="0" w:color="auto"/>
            <w:left w:val="none" w:sz="0" w:space="0" w:color="auto"/>
            <w:bottom w:val="none" w:sz="0" w:space="0" w:color="auto"/>
            <w:right w:val="none" w:sz="0" w:space="0" w:color="auto"/>
          </w:divBdr>
        </w:div>
        <w:div w:id="1561939214">
          <w:marLeft w:val="360"/>
          <w:marRight w:val="0"/>
          <w:marTop w:val="200"/>
          <w:marBottom w:val="0"/>
          <w:divBdr>
            <w:top w:val="none" w:sz="0" w:space="0" w:color="auto"/>
            <w:left w:val="none" w:sz="0" w:space="0" w:color="auto"/>
            <w:bottom w:val="none" w:sz="0" w:space="0" w:color="auto"/>
            <w:right w:val="none" w:sz="0" w:space="0" w:color="auto"/>
          </w:divBdr>
        </w:div>
        <w:div w:id="886259298">
          <w:marLeft w:val="360"/>
          <w:marRight w:val="0"/>
          <w:marTop w:val="200"/>
          <w:marBottom w:val="0"/>
          <w:divBdr>
            <w:top w:val="none" w:sz="0" w:space="0" w:color="auto"/>
            <w:left w:val="none" w:sz="0" w:space="0" w:color="auto"/>
            <w:bottom w:val="none" w:sz="0" w:space="0" w:color="auto"/>
            <w:right w:val="none" w:sz="0" w:space="0" w:color="auto"/>
          </w:divBdr>
        </w:div>
        <w:div w:id="355615089">
          <w:marLeft w:val="360"/>
          <w:marRight w:val="0"/>
          <w:marTop w:val="200"/>
          <w:marBottom w:val="0"/>
          <w:divBdr>
            <w:top w:val="none" w:sz="0" w:space="0" w:color="auto"/>
            <w:left w:val="none" w:sz="0" w:space="0" w:color="auto"/>
            <w:bottom w:val="none" w:sz="0" w:space="0" w:color="auto"/>
            <w:right w:val="none" w:sz="0" w:space="0" w:color="auto"/>
          </w:divBdr>
        </w:div>
        <w:div w:id="84880698">
          <w:marLeft w:val="360"/>
          <w:marRight w:val="0"/>
          <w:marTop w:val="200"/>
          <w:marBottom w:val="0"/>
          <w:divBdr>
            <w:top w:val="none" w:sz="0" w:space="0" w:color="auto"/>
            <w:left w:val="none" w:sz="0" w:space="0" w:color="auto"/>
            <w:bottom w:val="none" w:sz="0" w:space="0" w:color="auto"/>
            <w:right w:val="none" w:sz="0" w:space="0" w:color="auto"/>
          </w:divBdr>
        </w:div>
      </w:divsChild>
    </w:div>
    <w:div w:id="724372994">
      <w:bodyDiv w:val="1"/>
      <w:marLeft w:val="0"/>
      <w:marRight w:val="0"/>
      <w:marTop w:val="0"/>
      <w:marBottom w:val="0"/>
      <w:divBdr>
        <w:top w:val="none" w:sz="0" w:space="0" w:color="auto"/>
        <w:left w:val="none" w:sz="0" w:space="0" w:color="auto"/>
        <w:bottom w:val="none" w:sz="0" w:space="0" w:color="auto"/>
        <w:right w:val="none" w:sz="0" w:space="0" w:color="auto"/>
      </w:divBdr>
    </w:div>
    <w:div w:id="731928905">
      <w:bodyDiv w:val="1"/>
      <w:marLeft w:val="0"/>
      <w:marRight w:val="0"/>
      <w:marTop w:val="0"/>
      <w:marBottom w:val="0"/>
      <w:divBdr>
        <w:top w:val="none" w:sz="0" w:space="0" w:color="auto"/>
        <w:left w:val="none" w:sz="0" w:space="0" w:color="auto"/>
        <w:bottom w:val="none" w:sz="0" w:space="0" w:color="auto"/>
        <w:right w:val="none" w:sz="0" w:space="0" w:color="auto"/>
      </w:divBdr>
    </w:div>
    <w:div w:id="733087495">
      <w:bodyDiv w:val="1"/>
      <w:marLeft w:val="0"/>
      <w:marRight w:val="0"/>
      <w:marTop w:val="0"/>
      <w:marBottom w:val="0"/>
      <w:divBdr>
        <w:top w:val="none" w:sz="0" w:space="0" w:color="auto"/>
        <w:left w:val="none" w:sz="0" w:space="0" w:color="auto"/>
        <w:bottom w:val="none" w:sz="0" w:space="0" w:color="auto"/>
        <w:right w:val="none" w:sz="0" w:space="0" w:color="auto"/>
      </w:divBdr>
    </w:div>
    <w:div w:id="746390014">
      <w:bodyDiv w:val="1"/>
      <w:marLeft w:val="0"/>
      <w:marRight w:val="0"/>
      <w:marTop w:val="0"/>
      <w:marBottom w:val="0"/>
      <w:divBdr>
        <w:top w:val="none" w:sz="0" w:space="0" w:color="auto"/>
        <w:left w:val="none" w:sz="0" w:space="0" w:color="auto"/>
        <w:bottom w:val="none" w:sz="0" w:space="0" w:color="auto"/>
        <w:right w:val="none" w:sz="0" w:space="0" w:color="auto"/>
      </w:divBdr>
    </w:div>
    <w:div w:id="751779443">
      <w:bodyDiv w:val="1"/>
      <w:marLeft w:val="0"/>
      <w:marRight w:val="0"/>
      <w:marTop w:val="0"/>
      <w:marBottom w:val="0"/>
      <w:divBdr>
        <w:top w:val="none" w:sz="0" w:space="0" w:color="auto"/>
        <w:left w:val="none" w:sz="0" w:space="0" w:color="auto"/>
        <w:bottom w:val="none" w:sz="0" w:space="0" w:color="auto"/>
        <w:right w:val="none" w:sz="0" w:space="0" w:color="auto"/>
      </w:divBdr>
    </w:div>
    <w:div w:id="758675209">
      <w:bodyDiv w:val="1"/>
      <w:marLeft w:val="0"/>
      <w:marRight w:val="0"/>
      <w:marTop w:val="0"/>
      <w:marBottom w:val="0"/>
      <w:divBdr>
        <w:top w:val="none" w:sz="0" w:space="0" w:color="auto"/>
        <w:left w:val="none" w:sz="0" w:space="0" w:color="auto"/>
        <w:bottom w:val="none" w:sz="0" w:space="0" w:color="auto"/>
        <w:right w:val="none" w:sz="0" w:space="0" w:color="auto"/>
      </w:divBdr>
    </w:div>
    <w:div w:id="765806473">
      <w:bodyDiv w:val="1"/>
      <w:marLeft w:val="0"/>
      <w:marRight w:val="0"/>
      <w:marTop w:val="0"/>
      <w:marBottom w:val="0"/>
      <w:divBdr>
        <w:top w:val="none" w:sz="0" w:space="0" w:color="auto"/>
        <w:left w:val="none" w:sz="0" w:space="0" w:color="auto"/>
        <w:bottom w:val="none" w:sz="0" w:space="0" w:color="auto"/>
        <w:right w:val="none" w:sz="0" w:space="0" w:color="auto"/>
      </w:divBdr>
    </w:div>
    <w:div w:id="775566475">
      <w:bodyDiv w:val="1"/>
      <w:marLeft w:val="0"/>
      <w:marRight w:val="0"/>
      <w:marTop w:val="0"/>
      <w:marBottom w:val="0"/>
      <w:divBdr>
        <w:top w:val="none" w:sz="0" w:space="0" w:color="auto"/>
        <w:left w:val="none" w:sz="0" w:space="0" w:color="auto"/>
        <w:bottom w:val="none" w:sz="0" w:space="0" w:color="auto"/>
        <w:right w:val="none" w:sz="0" w:space="0" w:color="auto"/>
      </w:divBdr>
    </w:div>
    <w:div w:id="778066545">
      <w:bodyDiv w:val="1"/>
      <w:marLeft w:val="0"/>
      <w:marRight w:val="0"/>
      <w:marTop w:val="0"/>
      <w:marBottom w:val="0"/>
      <w:divBdr>
        <w:top w:val="none" w:sz="0" w:space="0" w:color="auto"/>
        <w:left w:val="none" w:sz="0" w:space="0" w:color="auto"/>
        <w:bottom w:val="none" w:sz="0" w:space="0" w:color="auto"/>
        <w:right w:val="none" w:sz="0" w:space="0" w:color="auto"/>
      </w:divBdr>
    </w:div>
    <w:div w:id="778449235">
      <w:bodyDiv w:val="1"/>
      <w:marLeft w:val="0"/>
      <w:marRight w:val="0"/>
      <w:marTop w:val="0"/>
      <w:marBottom w:val="0"/>
      <w:divBdr>
        <w:top w:val="none" w:sz="0" w:space="0" w:color="auto"/>
        <w:left w:val="none" w:sz="0" w:space="0" w:color="auto"/>
        <w:bottom w:val="none" w:sz="0" w:space="0" w:color="auto"/>
        <w:right w:val="none" w:sz="0" w:space="0" w:color="auto"/>
      </w:divBdr>
    </w:div>
    <w:div w:id="783502515">
      <w:bodyDiv w:val="1"/>
      <w:marLeft w:val="0"/>
      <w:marRight w:val="0"/>
      <w:marTop w:val="0"/>
      <w:marBottom w:val="0"/>
      <w:divBdr>
        <w:top w:val="none" w:sz="0" w:space="0" w:color="auto"/>
        <w:left w:val="none" w:sz="0" w:space="0" w:color="auto"/>
        <w:bottom w:val="none" w:sz="0" w:space="0" w:color="auto"/>
        <w:right w:val="none" w:sz="0" w:space="0" w:color="auto"/>
      </w:divBdr>
    </w:div>
    <w:div w:id="802189927">
      <w:bodyDiv w:val="1"/>
      <w:marLeft w:val="0"/>
      <w:marRight w:val="0"/>
      <w:marTop w:val="0"/>
      <w:marBottom w:val="0"/>
      <w:divBdr>
        <w:top w:val="none" w:sz="0" w:space="0" w:color="auto"/>
        <w:left w:val="none" w:sz="0" w:space="0" w:color="auto"/>
        <w:bottom w:val="none" w:sz="0" w:space="0" w:color="auto"/>
        <w:right w:val="none" w:sz="0" w:space="0" w:color="auto"/>
      </w:divBdr>
    </w:div>
    <w:div w:id="806624391">
      <w:bodyDiv w:val="1"/>
      <w:marLeft w:val="0"/>
      <w:marRight w:val="0"/>
      <w:marTop w:val="0"/>
      <w:marBottom w:val="0"/>
      <w:divBdr>
        <w:top w:val="none" w:sz="0" w:space="0" w:color="auto"/>
        <w:left w:val="none" w:sz="0" w:space="0" w:color="auto"/>
        <w:bottom w:val="none" w:sz="0" w:space="0" w:color="auto"/>
        <w:right w:val="none" w:sz="0" w:space="0" w:color="auto"/>
      </w:divBdr>
      <w:divsChild>
        <w:div w:id="1902135100">
          <w:marLeft w:val="0"/>
          <w:marRight w:val="0"/>
          <w:marTop w:val="0"/>
          <w:marBottom w:val="0"/>
          <w:divBdr>
            <w:top w:val="none" w:sz="0" w:space="0" w:color="auto"/>
            <w:left w:val="none" w:sz="0" w:space="0" w:color="auto"/>
            <w:bottom w:val="none" w:sz="0" w:space="0" w:color="auto"/>
            <w:right w:val="none" w:sz="0" w:space="0" w:color="auto"/>
          </w:divBdr>
        </w:div>
        <w:div w:id="1784182130">
          <w:marLeft w:val="0"/>
          <w:marRight w:val="0"/>
          <w:marTop w:val="0"/>
          <w:marBottom w:val="0"/>
          <w:divBdr>
            <w:top w:val="none" w:sz="0" w:space="0" w:color="auto"/>
            <w:left w:val="none" w:sz="0" w:space="0" w:color="auto"/>
            <w:bottom w:val="none" w:sz="0" w:space="0" w:color="auto"/>
            <w:right w:val="none" w:sz="0" w:space="0" w:color="auto"/>
          </w:divBdr>
        </w:div>
      </w:divsChild>
    </w:div>
    <w:div w:id="808789364">
      <w:bodyDiv w:val="1"/>
      <w:marLeft w:val="0"/>
      <w:marRight w:val="0"/>
      <w:marTop w:val="0"/>
      <w:marBottom w:val="0"/>
      <w:divBdr>
        <w:top w:val="none" w:sz="0" w:space="0" w:color="auto"/>
        <w:left w:val="none" w:sz="0" w:space="0" w:color="auto"/>
        <w:bottom w:val="none" w:sz="0" w:space="0" w:color="auto"/>
        <w:right w:val="none" w:sz="0" w:space="0" w:color="auto"/>
      </w:divBdr>
    </w:div>
    <w:div w:id="811600490">
      <w:bodyDiv w:val="1"/>
      <w:marLeft w:val="0"/>
      <w:marRight w:val="0"/>
      <w:marTop w:val="0"/>
      <w:marBottom w:val="0"/>
      <w:divBdr>
        <w:top w:val="none" w:sz="0" w:space="0" w:color="auto"/>
        <w:left w:val="none" w:sz="0" w:space="0" w:color="auto"/>
        <w:bottom w:val="none" w:sz="0" w:space="0" w:color="auto"/>
        <w:right w:val="none" w:sz="0" w:space="0" w:color="auto"/>
      </w:divBdr>
    </w:div>
    <w:div w:id="816998604">
      <w:bodyDiv w:val="1"/>
      <w:marLeft w:val="0"/>
      <w:marRight w:val="0"/>
      <w:marTop w:val="0"/>
      <w:marBottom w:val="0"/>
      <w:divBdr>
        <w:top w:val="none" w:sz="0" w:space="0" w:color="auto"/>
        <w:left w:val="none" w:sz="0" w:space="0" w:color="auto"/>
        <w:bottom w:val="none" w:sz="0" w:space="0" w:color="auto"/>
        <w:right w:val="none" w:sz="0" w:space="0" w:color="auto"/>
      </w:divBdr>
    </w:div>
    <w:div w:id="817382898">
      <w:bodyDiv w:val="1"/>
      <w:marLeft w:val="0"/>
      <w:marRight w:val="0"/>
      <w:marTop w:val="0"/>
      <w:marBottom w:val="0"/>
      <w:divBdr>
        <w:top w:val="none" w:sz="0" w:space="0" w:color="auto"/>
        <w:left w:val="none" w:sz="0" w:space="0" w:color="auto"/>
        <w:bottom w:val="none" w:sz="0" w:space="0" w:color="auto"/>
        <w:right w:val="none" w:sz="0" w:space="0" w:color="auto"/>
      </w:divBdr>
    </w:div>
    <w:div w:id="820393117">
      <w:bodyDiv w:val="1"/>
      <w:marLeft w:val="0"/>
      <w:marRight w:val="0"/>
      <w:marTop w:val="0"/>
      <w:marBottom w:val="0"/>
      <w:divBdr>
        <w:top w:val="none" w:sz="0" w:space="0" w:color="auto"/>
        <w:left w:val="none" w:sz="0" w:space="0" w:color="auto"/>
        <w:bottom w:val="none" w:sz="0" w:space="0" w:color="auto"/>
        <w:right w:val="none" w:sz="0" w:space="0" w:color="auto"/>
      </w:divBdr>
    </w:div>
    <w:div w:id="828667767">
      <w:bodyDiv w:val="1"/>
      <w:marLeft w:val="0"/>
      <w:marRight w:val="0"/>
      <w:marTop w:val="0"/>
      <w:marBottom w:val="0"/>
      <w:divBdr>
        <w:top w:val="none" w:sz="0" w:space="0" w:color="auto"/>
        <w:left w:val="none" w:sz="0" w:space="0" w:color="auto"/>
        <w:bottom w:val="none" w:sz="0" w:space="0" w:color="auto"/>
        <w:right w:val="none" w:sz="0" w:space="0" w:color="auto"/>
      </w:divBdr>
    </w:div>
    <w:div w:id="837034510">
      <w:bodyDiv w:val="1"/>
      <w:marLeft w:val="0"/>
      <w:marRight w:val="0"/>
      <w:marTop w:val="0"/>
      <w:marBottom w:val="0"/>
      <w:divBdr>
        <w:top w:val="none" w:sz="0" w:space="0" w:color="auto"/>
        <w:left w:val="none" w:sz="0" w:space="0" w:color="auto"/>
        <w:bottom w:val="none" w:sz="0" w:space="0" w:color="auto"/>
        <w:right w:val="none" w:sz="0" w:space="0" w:color="auto"/>
      </w:divBdr>
    </w:div>
    <w:div w:id="849609131">
      <w:bodyDiv w:val="1"/>
      <w:marLeft w:val="0"/>
      <w:marRight w:val="0"/>
      <w:marTop w:val="0"/>
      <w:marBottom w:val="0"/>
      <w:divBdr>
        <w:top w:val="none" w:sz="0" w:space="0" w:color="auto"/>
        <w:left w:val="none" w:sz="0" w:space="0" w:color="auto"/>
        <w:bottom w:val="none" w:sz="0" w:space="0" w:color="auto"/>
        <w:right w:val="none" w:sz="0" w:space="0" w:color="auto"/>
      </w:divBdr>
    </w:div>
    <w:div w:id="850336555">
      <w:bodyDiv w:val="1"/>
      <w:marLeft w:val="0"/>
      <w:marRight w:val="0"/>
      <w:marTop w:val="0"/>
      <w:marBottom w:val="0"/>
      <w:divBdr>
        <w:top w:val="none" w:sz="0" w:space="0" w:color="auto"/>
        <w:left w:val="none" w:sz="0" w:space="0" w:color="auto"/>
        <w:bottom w:val="none" w:sz="0" w:space="0" w:color="auto"/>
        <w:right w:val="none" w:sz="0" w:space="0" w:color="auto"/>
      </w:divBdr>
    </w:div>
    <w:div w:id="860508313">
      <w:bodyDiv w:val="1"/>
      <w:marLeft w:val="0"/>
      <w:marRight w:val="0"/>
      <w:marTop w:val="0"/>
      <w:marBottom w:val="0"/>
      <w:divBdr>
        <w:top w:val="none" w:sz="0" w:space="0" w:color="auto"/>
        <w:left w:val="none" w:sz="0" w:space="0" w:color="auto"/>
        <w:bottom w:val="none" w:sz="0" w:space="0" w:color="auto"/>
        <w:right w:val="none" w:sz="0" w:space="0" w:color="auto"/>
      </w:divBdr>
      <w:divsChild>
        <w:div w:id="2011908920">
          <w:marLeft w:val="0"/>
          <w:marRight w:val="0"/>
          <w:marTop w:val="0"/>
          <w:marBottom w:val="0"/>
          <w:divBdr>
            <w:top w:val="none" w:sz="0" w:space="0" w:color="auto"/>
            <w:left w:val="none" w:sz="0" w:space="0" w:color="auto"/>
            <w:bottom w:val="none" w:sz="0" w:space="0" w:color="auto"/>
            <w:right w:val="none" w:sz="0" w:space="0" w:color="auto"/>
          </w:divBdr>
          <w:divsChild>
            <w:div w:id="189221446">
              <w:marLeft w:val="0"/>
              <w:marRight w:val="0"/>
              <w:marTop w:val="0"/>
              <w:marBottom w:val="0"/>
              <w:divBdr>
                <w:top w:val="none" w:sz="0" w:space="0" w:color="auto"/>
                <w:left w:val="none" w:sz="0" w:space="0" w:color="auto"/>
                <w:bottom w:val="none" w:sz="0" w:space="0" w:color="auto"/>
                <w:right w:val="none" w:sz="0" w:space="0" w:color="auto"/>
              </w:divBdr>
              <w:divsChild>
                <w:div w:id="390544595">
                  <w:marLeft w:val="0"/>
                  <w:marRight w:val="0"/>
                  <w:marTop w:val="0"/>
                  <w:marBottom w:val="0"/>
                  <w:divBdr>
                    <w:top w:val="none" w:sz="0" w:space="0" w:color="auto"/>
                    <w:left w:val="none" w:sz="0" w:space="0" w:color="auto"/>
                    <w:bottom w:val="none" w:sz="0" w:space="0" w:color="auto"/>
                    <w:right w:val="none" w:sz="0" w:space="0" w:color="auto"/>
                  </w:divBdr>
                  <w:divsChild>
                    <w:div w:id="3801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7068463">
      <w:bodyDiv w:val="1"/>
      <w:marLeft w:val="0"/>
      <w:marRight w:val="0"/>
      <w:marTop w:val="0"/>
      <w:marBottom w:val="0"/>
      <w:divBdr>
        <w:top w:val="none" w:sz="0" w:space="0" w:color="auto"/>
        <w:left w:val="none" w:sz="0" w:space="0" w:color="auto"/>
        <w:bottom w:val="none" w:sz="0" w:space="0" w:color="auto"/>
        <w:right w:val="none" w:sz="0" w:space="0" w:color="auto"/>
      </w:divBdr>
    </w:div>
    <w:div w:id="872420050">
      <w:bodyDiv w:val="1"/>
      <w:marLeft w:val="0"/>
      <w:marRight w:val="0"/>
      <w:marTop w:val="0"/>
      <w:marBottom w:val="0"/>
      <w:divBdr>
        <w:top w:val="none" w:sz="0" w:space="0" w:color="auto"/>
        <w:left w:val="none" w:sz="0" w:space="0" w:color="auto"/>
        <w:bottom w:val="none" w:sz="0" w:space="0" w:color="auto"/>
        <w:right w:val="none" w:sz="0" w:space="0" w:color="auto"/>
      </w:divBdr>
    </w:div>
    <w:div w:id="873230427">
      <w:bodyDiv w:val="1"/>
      <w:marLeft w:val="0"/>
      <w:marRight w:val="0"/>
      <w:marTop w:val="0"/>
      <w:marBottom w:val="0"/>
      <w:divBdr>
        <w:top w:val="none" w:sz="0" w:space="0" w:color="auto"/>
        <w:left w:val="none" w:sz="0" w:space="0" w:color="auto"/>
        <w:bottom w:val="none" w:sz="0" w:space="0" w:color="auto"/>
        <w:right w:val="none" w:sz="0" w:space="0" w:color="auto"/>
      </w:divBdr>
      <w:divsChild>
        <w:div w:id="1989967793">
          <w:marLeft w:val="0"/>
          <w:marRight w:val="0"/>
          <w:marTop w:val="0"/>
          <w:marBottom w:val="0"/>
          <w:divBdr>
            <w:top w:val="none" w:sz="0" w:space="0" w:color="auto"/>
            <w:left w:val="none" w:sz="0" w:space="0" w:color="auto"/>
            <w:bottom w:val="none" w:sz="0" w:space="0" w:color="auto"/>
            <w:right w:val="none" w:sz="0" w:space="0" w:color="auto"/>
          </w:divBdr>
        </w:div>
        <w:div w:id="1773473808">
          <w:marLeft w:val="0"/>
          <w:marRight w:val="0"/>
          <w:marTop w:val="0"/>
          <w:marBottom w:val="0"/>
          <w:divBdr>
            <w:top w:val="none" w:sz="0" w:space="0" w:color="auto"/>
            <w:left w:val="none" w:sz="0" w:space="0" w:color="auto"/>
            <w:bottom w:val="none" w:sz="0" w:space="0" w:color="auto"/>
            <w:right w:val="none" w:sz="0" w:space="0" w:color="auto"/>
          </w:divBdr>
        </w:div>
      </w:divsChild>
    </w:div>
    <w:div w:id="877011447">
      <w:bodyDiv w:val="1"/>
      <w:marLeft w:val="0"/>
      <w:marRight w:val="0"/>
      <w:marTop w:val="0"/>
      <w:marBottom w:val="0"/>
      <w:divBdr>
        <w:top w:val="none" w:sz="0" w:space="0" w:color="auto"/>
        <w:left w:val="none" w:sz="0" w:space="0" w:color="auto"/>
        <w:bottom w:val="none" w:sz="0" w:space="0" w:color="auto"/>
        <w:right w:val="none" w:sz="0" w:space="0" w:color="auto"/>
      </w:divBdr>
    </w:div>
    <w:div w:id="890381669">
      <w:bodyDiv w:val="1"/>
      <w:marLeft w:val="0"/>
      <w:marRight w:val="0"/>
      <w:marTop w:val="0"/>
      <w:marBottom w:val="0"/>
      <w:divBdr>
        <w:top w:val="none" w:sz="0" w:space="0" w:color="auto"/>
        <w:left w:val="none" w:sz="0" w:space="0" w:color="auto"/>
        <w:bottom w:val="none" w:sz="0" w:space="0" w:color="auto"/>
        <w:right w:val="none" w:sz="0" w:space="0" w:color="auto"/>
      </w:divBdr>
      <w:divsChild>
        <w:div w:id="370112385">
          <w:marLeft w:val="547"/>
          <w:marRight w:val="0"/>
          <w:marTop w:val="0"/>
          <w:marBottom w:val="0"/>
          <w:divBdr>
            <w:top w:val="none" w:sz="0" w:space="0" w:color="auto"/>
            <w:left w:val="none" w:sz="0" w:space="0" w:color="auto"/>
            <w:bottom w:val="none" w:sz="0" w:space="0" w:color="auto"/>
            <w:right w:val="none" w:sz="0" w:space="0" w:color="auto"/>
          </w:divBdr>
        </w:div>
        <w:div w:id="1671563677">
          <w:marLeft w:val="547"/>
          <w:marRight w:val="0"/>
          <w:marTop w:val="0"/>
          <w:marBottom w:val="0"/>
          <w:divBdr>
            <w:top w:val="none" w:sz="0" w:space="0" w:color="auto"/>
            <w:left w:val="none" w:sz="0" w:space="0" w:color="auto"/>
            <w:bottom w:val="none" w:sz="0" w:space="0" w:color="auto"/>
            <w:right w:val="none" w:sz="0" w:space="0" w:color="auto"/>
          </w:divBdr>
        </w:div>
        <w:div w:id="900288490">
          <w:marLeft w:val="547"/>
          <w:marRight w:val="0"/>
          <w:marTop w:val="0"/>
          <w:marBottom w:val="0"/>
          <w:divBdr>
            <w:top w:val="none" w:sz="0" w:space="0" w:color="auto"/>
            <w:left w:val="none" w:sz="0" w:space="0" w:color="auto"/>
            <w:bottom w:val="none" w:sz="0" w:space="0" w:color="auto"/>
            <w:right w:val="none" w:sz="0" w:space="0" w:color="auto"/>
          </w:divBdr>
        </w:div>
        <w:div w:id="1583369119">
          <w:marLeft w:val="547"/>
          <w:marRight w:val="0"/>
          <w:marTop w:val="0"/>
          <w:marBottom w:val="0"/>
          <w:divBdr>
            <w:top w:val="none" w:sz="0" w:space="0" w:color="auto"/>
            <w:left w:val="none" w:sz="0" w:space="0" w:color="auto"/>
            <w:bottom w:val="none" w:sz="0" w:space="0" w:color="auto"/>
            <w:right w:val="none" w:sz="0" w:space="0" w:color="auto"/>
          </w:divBdr>
        </w:div>
        <w:div w:id="1517689422">
          <w:marLeft w:val="547"/>
          <w:marRight w:val="0"/>
          <w:marTop w:val="0"/>
          <w:marBottom w:val="0"/>
          <w:divBdr>
            <w:top w:val="none" w:sz="0" w:space="0" w:color="auto"/>
            <w:left w:val="none" w:sz="0" w:space="0" w:color="auto"/>
            <w:bottom w:val="none" w:sz="0" w:space="0" w:color="auto"/>
            <w:right w:val="none" w:sz="0" w:space="0" w:color="auto"/>
          </w:divBdr>
        </w:div>
      </w:divsChild>
    </w:div>
    <w:div w:id="905264824">
      <w:bodyDiv w:val="1"/>
      <w:marLeft w:val="0"/>
      <w:marRight w:val="0"/>
      <w:marTop w:val="0"/>
      <w:marBottom w:val="0"/>
      <w:divBdr>
        <w:top w:val="none" w:sz="0" w:space="0" w:color="auto"/>
        <w:left w:val="none" w:sz="0" w:space="0" w:color="auto"/>
        <w:bottom w:val="none" w:sz="0" w:space="0" w:color="auto"/>
        <w:right w:val="none" w:sz="0" w:space="0" w:color="auto"/>
      </w:divBdr>
      <w:divsChild>
        <w:div w:id="93287483">
          <w:marLeft w:val="0"/>
          <w:marRight w:val="0"/>
          <w:marTop w:val="0"/>
          <w:marBottom w:val="0"/>
          <w:divBdr>
            <w:top w:val="none" w:sz="0" w:space="0" w:color="auto"/>
            <w:left w:val="none" w:sz="0" w:space="0" w:color="auto"/>
            <w:bottom w:val="none" w:sz="0" w:space="0" w:color="auto"/>
            <w:right w:val="none" w:sz="0" w:space="0" w:color="auto"/>
          </w:divBdr>
        </w:div>
      </w:divsChild>
    </w:div>
    <w:div w:id="926302127">
      <w:bodyDiv w:val="1"/>
      <w:marLeft w:val="0"/>
      <w:marRight w:val="0"/>
      <w:marTop w:val="0"/>
      <w:marBottom w:val="0"/>
      <w:divBdr>
        <w:top w:val="none" w:sz="0" w:space="0" w:color="auto"/>
        <w:left w:val="none" w:sz="0" w:space="0" w:color="auto"/>
        <w:bottom w:val="none" w:sz="0" w:space="0" w:color="auto"/>
        <w:right w:val="none" w:sz="0" w:space="0" w:color="auto"/>
      </w:divBdr>
    </w:div>
    <w:div w:id="936909495">
      <w:bodyDiv w:val="1"/>
      <w:marLeft w:val="0"/>
      <w:marRight w:val="0"/>
      <w:marTop w:val="0"/>
      <w:marBottom w:val="0"/>
      <w:divBdr>
        <w:top w:val="none" w:sz="0" w:space="0" w:color="auto"/>
        <w:left w:val="none" w:sz="0" w:space="0" w:color="auto"/>
        <w:bottom w:val="none" w:sz="0" w:space="0" w:color="auto"/>
        <w:right w:val="none" w:sz="0" w:space="0" w:color="auto"/>
      </w:divBdr>
    </w:div>
    <w:div w:id="937173085">
      <w:bodyDiv w:val="1"/>
      <w:marLeft w:val="0"/>
      <w:marRight w:val="0"/>
      <w:marTop w:val="0"/>
      <w:marBottom w:val="0"/>
      <w:divBdr>
        <w:top w:val="none" w:sz="0" w:space="0" w:color="auto"/>
        <w:left w:val="none" w:sz="0" w:space="0" w:color="auto"/>
        <w:bottom w:val="none" w:sz="0" w:space="0" w:color="auto"/>
        <w:right w:val="none" w:sz="0" w:space="0" w:color="auto"/>
      </w:divBdr>
    </w:div>
    <w:div w:id="942878665">
      <w:bodyDiv w:val="1"/>
      <w:marLeft w:val="0"/>
      <w:marRight w:val="0"/>
      <w:marTop w:val="0"/>
      <w:marBottom w:val="0"/>
      <w:divBdr>
        <w:top w:val="none" w:sz="0" w:space="0" w:color="auto"/>
        <w:left w:val="none" w:sz="0" w:space="0" w:color="auto"/>
        <w:bottom w:val="none" w:sz="0" w:space="0" w:color="auto"/>
        <w:right w:val="none" w:sz="0" w:space="0" w:color="auto"/>
      </w:divBdr>
    </w:div>
    <w:div w:id="955137514">
      <w:bodyDiv w:val="1"/>
      <w:marLeft w:val="0"/>
      <w:marRight w:val="0"/>
      <w:marTop w:val="0"/>
      <w:marBottom w:val="0"/>
      <w:divBdr>
        <w:top w:val="none" w:sz="0" w:space="0" w:color="auto"/>
        <w:left w:val="none" w:sz="0" w:space="0" w:color="auto"/>
        <w:bottom w:val="none" w:sz="0" w:space="0" w:color="auto"/>
        <w:right w:val="none" w:sz="0" w:space="0" w:color="auto"/>
      </w:divBdr>
    </w:div>
    <w:div w:id="957033254">
      <w:bodyDiv w:val="1"/>
      <w:marLeft w:val="0"/>
      <w:marRight w:val="0"/>
      <w:marTop w:val="0"/>
      <w:marBottom w:val="0"/>
      <w:divBdr>
        <w:top w:val="none" w:sz="0" w:space="0" w:color="auto"/>
        <w:left w:val="none" w:sz="0" w:space="0" w:color="auto"/>
        <w:bottom w:val="none" w:sz="0" w:space="0" w:color="auto"/>
        <w:right w:val="none" w:sz="0" w:space="0" w:color="auto"/>
      </w:divBdr>
    </w:div>
    <w:div w:id="978338545">
      <w:bodyDiv w:val="1"/>
      <w:marLeft w:val="0"/>
      <w:marRight w:val="0"/>
      <w:marTop w:val="0"/>
      <w:marBottom w:val="0"/>
      <w:divBdr>
        <w:top w:val="none" w:sz="0" w:space="0" w:color="auto"/>
        <w:left w:val="none" w:sz="0" w:space="0" w:color="auto"/>
        <w:bottom w:val="none" w:sz="0" w:space="0" w:color="auto"/>
        <w:right w:val="none" w:sz="0" w:space="0" w:color="auto"/>
      </w:divBdr>
    </w:div>
    <w:div w:id="979724616">
      <w:bodyDiv w:val="1"/>
      <w:marLeft w:val="0"/>
      <w:marRight w:val="0"/>
      <w:marTop w:val="0"/>
      <w:marBottom w:val="0"/>
      <w:divBdr>
        <w:top w:val="none" w:sz="0" w:space="0" w:color="auto"/>
        <w:left w:val="none" w:sz="0" w:space="0" w:color="auto"/>
        <w:bottom w:val="none" w:sz="0" w:space="0" w:color="auto"/>
        <w:right w:val="none" w:sz="0" w:space="0" w:color="auto"/>
      </w:divBdr>
    </w:div>
    <w:div w:id="1000541141">
      <w:bodyDiv w:val="1"/>
      <w:marLeft w:val="0"/>
      <w:marRight w:val="0"/>
      <w:marTop w:val="0"/>
      <w:marBottom w:val="0"/>
      <w:divBdr>
        <w:top w:val="none" w:sz="0" w:space="0" w:color="auto"/>
        <w:left w:val="none" w:sz="0" w:space="0" w:color="auto"/>
        <w:bottom w:val="none" w:sz="0" w:space="0" w:color="auto"/>
        <w:right w:val="none" w:sz="0" w:space="0" w:color="auto"/>
      </w:divBdr>
    </w:div>
    <w:div w:id="1003388164">
      <w:bodyDiv w:val="1"/>
      <w:marLeft w:val="0"/>
      <w:marRight w:val="0"/>
      <w:marTop w:val="0"/>
      <w:marBottom w:val="0"/>
      <w:divBdr>
        <w:top w:val="none" w:sz="0" w:space="0" w:color="auto"/>
        <w:left w:val="none" w:sz="0" w:space="0" w:color="auto"/>
        <w:bottom w:val="none" w:sz="0" w:space="0" w:color="auto"/>
        <w:right w:val="none" w:sz="0" w:space="0" w:color="auto"/>
      </w:divBdr>
    </w:div>
    <w:div w:id="1016807743">
      <w:bodyDiv w:val="1"/>
      <w:marLeft w:val="0"/>
      <w:marRight w:val="0"/>
      <w:marTop w:val="0"/>
      <w:marBottom w:val="0"/>
      <w:divBdr>
        <w:top w:val="none" w:sz="0" w:space="0" w:color="auto"/>
        <w:left w:val="none" w:sz="0" w:space="0" w:color="auto"/>
        <w:bottom w:val="none" w:sz="0" w:space="0" w:color="auto"/>
        <w:right w:val="none" w:sz="0" w:space="0" w:color="auto"/>
      </w:divBdr>
    </w:div>
    <w:div w:id="1040201059">
      <w:bodyDiv w:val="1"/>
      <w:marLeft w:val="0"/>
      <w:marRight w:val="0"/>
      <w:marTop w:val="0"/>
      <w:marBottom w:val="0"/>
      <w:divBdr>
        <w:top w:val="none" w:sz="0" w:space="0" w:color="auto"/>
        <w:left w:val="none" w:sz="0" w:space="0" w:color="auto"/>
        <w:bottom w:val="none" w:sz="0" w:space="0" w:color="auto"/>
        <w:right w:val="none" w:sz="0" w:space="0" w:color="auto"/>
      </w:divBdr>
    </w:div>
    <w:div w:id="1048802208">
      <w:bodyDiv w:val="1"/>
      <w:marLeft w:val="0"/>
      <w:marRight w:val="0"/>
      <w:marTop w:val="0"/>
      <w:marBottom w:val="0"/>
      <w:divBdr>
        <w:top w:val="none" w:sz="0" w:space="0" w:color="auto"/>
        <w:left w:val="none" w:sz="0" w:space="0" w:color="auto"/>
        <w:bottom w:val="none" w:sz="0" w:space="0" w:color="auto"/>
        <w:right w:val="none" w:sz="0" w:space="0" w:color="auto"/>
      </w:divBdr>
      <w:divsChild>
        <w:div w:id="2009021274">
          <w:marLeft w:val="0"/>
          <w:marRight w:val="0"/>
          <w:marTop w:val="0"/>
          <w:marBottom w:val="0"/>
          <w:divBdr>
            <w:top w:val="none" w:sz="0" w:space="0" w:color="auto"/>
            <w:left w:val="none" w:sz="0" w:space="0" w:color="auto"/>
            <w:bottom w:val="none" w:sz="0" w:space="0" w:color="auto"/>
            <w:right w:val="none" w:sz="0" w:space="0" w:color="auto"/>
          </w:divBdr>
          <w:divsChild>
            <w:div w:id="1929731862">
              <w:marLeft w:val="0"/>
              <w:marRight w:val="0"/>
              <w:marTop w:val="0"/>
              <w:marBottom w:val="0"/>
              <w:divBdr>
                <w:top w:val="none" w:sz="0" w:space="0" w:color="auto"/>
                <w:left w:val="none" w:sz="0" w:space="0" w:color="auto"/>
                <w:bottom w:val="none" w:sz="0" w:space="0" w:color="auto"/>
                <w:right w:val="none" w:sz="0" w:space="0" w:color="auto"/>
              </w:divBdr>
              <w:divsChild>
                <w:div w:id="1198929440">
                  <w:marLeft w:val="0"/>
                  <w:marRight w:val="0"/>
                  <w:marTop w:val="0"/>
                  <w:marBottom w:val="0"/>
                  <w:divBdr>
                    <w:top w:val="none" w:sz="0" w:space="0" w:color="auto"/>
                    <w:left w:val="none" w:sz="0" w:space="0" w:color="auto"/>
                    <w:bottom w:val="none" w:sz="0" w:space="0" w:color="auto"/>
                    <w:right w:val="none" w:sz="0" w:space="0" w:color="auto"/>
                  </w:divBdr>
                  <w:divsChild>
                    <w:div w:id="210915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170128">
          <w:marLeft w:val="0"/>
          <w:marRight w:val="0"/>
          <w:marTop w:val="0"/>
          <w:marBottom w:val="0"/>
          <w:divBdr>
            <w:top w:val="none" w:sz="0" w:space="0" w:color="auto"/>
            <w:left w:val="none" w:sz="0" w:space="0" w:color="auto"/>
            <w:bottom w:val="none" w:sz="0" w:space="0" w:color="auto"/>
            <w:right w:val="none" w:sz="0" w:space="0" w:color="auto"/>
          </w:divBdr>
          <w:divsChild>
            <w:div w:id="1483617093">
              <w:marLeft w:val="0"/>
              <w:marRight w:val="0"/>
              <w:marTop w:val="0"/>
              <w:marBottom w:val="0"/>
              <w:divBdr>
                <w:top w:val="none" w:sz="0" w:space="0" w:color="auto"/>
                <w:left w:val="none" w:sz="0" w:space="0" w:color="auto"/>
                <w:bottom w:val="none" w:sz="0" w:space="0" w:color="auto"/>
                <w:right w:val="none" w:sz="0" w:space="0" w:color="auto"/>
              </w:divBdr>
              <w:divsChild>
                <w:div w:id="251092400">
                  <w:marLeft w:val="0"/>
                  <w:marRight w:val="0"/>
                  <w:marTop w:val="0"/>
                  <w:marBottom w:val="0"/>
                  <w:divBdr>
                    <w:top w:val="none" w:sz="0" w:space="0" w:color="auto"/>
                    <w:left w:val="none" w:sz="0" w:space="0" w:color="auto"/>
                    <w:bottom w:val="none" w:sz="0" w:space="0" w:color="auto"/>
                    <w:right w:val="none" w:sz="0" w:space="0" w:color="auto"/>
                  </w:divBdr>
                  <w:divsChild>
                    <w:div w:id="38718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5108731">
      <w:bodyDiv w:val="1"/>
      <w:marLeft w:val="0"/>
      <w:marRight w:val="0"/>
      <w:marTop w:val="0"/>
      <w:marBottom w:val="0"/>
      <w:divBdr>
        <w:top w:val="none" w:sz="0" w:space="0" w:color="auto"/>
        <w:left w:val="none" w:sz="0" w:space="0" w:color="auto"/>
        <w:bottom w:val="none" w:sz="0" w:space="0" w:color="auto"/>
        <w:right w:val="none" w:sz="0" w:space="0" w:color="auto"/>
      </w:divBdr>
    </w:div>
    <w:div w:id="1103570395">
      <w:bodyDiv w:val="1"/>
      <w:marLeft w:val="0"/>
      <w:marRight w:val="0"/>
      <w:marTop w:val="0"/>
      <w:marBottom w:val="0"/>
      <w:divBdr>
        <w:top w:val="none" w:sz="0" w:space="0" w:color="auto"/>
        <w:left w:val="none" w:sz="0" w:space="0" w:color="auto"/>
        <w:bottom w:val="none" w:sz="0" w:space="0" w:color="auto"/>
        <w:right w:val="none" w:sz="0" w:space="0" w:color="auto"/>
      </w:divBdr>
    </w:div>
    <w:div w:id="1108424005">
      <w:bodyDiv w:val="1"/>
      <w:marLeft w:val="0"/>
      <w:marRight w:val="0"/>
      <w:marTop w:val="0"/>
      <w:marBottom w:val="0"/>
      <w:divBdr>
        <w:top w:val="none" w:sz="0" w:space="0" w:color="auto"/>
        <w:left w:val="none" w:sz="0" w:space="0" w:color="auto"/>
        <w:bottom w:val="none" w:sz="0" w:space="0" w:color="auto"/>
        <w:right w:val="none" w:sz="0" w:space="0" w:color="auto"/>
      </w:divBdr>
      <w:divsChild>
        <w:div w:id="1355841126">
          <w:marLeft w:val="547"/>
          <w:marRight w:val="0"/>
          <w:marTop w:val="0"/>
          <w:marBottom w:val="0"/>
          <w:divBdr>
            <w:top w:val="none" w:sz="0" w:space="0" w:color="auto"/>
            <w:left w:val="none" w:sz="0" w:space="0" w:color="auto"/>
            <w:bottom w:val="none" w:sz="0" w:space="0" w:color="auto"/>
            <w:right w:val="none" w:sz="0" w:space="0" w:color="auto"/>
          </w:divBdr>
        </w:div>
      </w:divsChild>
    </w:div>
    <w:div w:id="1116755826">
      <w:bodyDiv w:val="1"/>
      <w:marLeft w:val="0"/>
      <w:marRight w:val="0"/>
      <w:marTop w:val="0"/>
      <w:marBottom w:val="0"/>
      <w:divBdr>
        <w:top w:val="none" w:sz="0" w:space="0" w:color="auto"/>
        <w:left w:val="none" w:sz="0" w:space="0" w:color="auto"/>
        <w:bottom w:val="none" w:sz="0" w:space="0" w:color="auto"/>
        <w:right w:val="none" w:sz="0" w:space="0" w:color="auto"/>
      </w:divBdr>
    </w:div>
    <w:div w:id="1141269098">
      <w:bodyDiv w:val="1"/>
      <w:marLeft w:val="0"/>
      <w:marRight w:val="0"/>
      <w:marTop w:val="0"/>
      <w:marBottom w:val="0"/>
      <w:divBdr>
        <w:top w:val="none" w:sz="0" w:space="0" w:color="auto"/>
        <w:left w:val="none" w:sz="0" w:space="0" w:color="auto"/>
        <w:bottom w:val="none" w:sz="0" w:space="0" w:color="auto"/>
        <w:right w:val="none" w:sz="0" w:space="0" w:color="auto"/>
      </w:divBdr>
    </w:div>
    <w:div w:id="1144664665">
      <w:bodyDiv w:val="1"/>
      <w:marLeft w:val="0"/>
      <w:marRight w:val="0"/>
      <w:marTop w:val="0"/>
      <w:marBottom w:val="0"/>
      <w:divBdr>
        <w:top w:val="none" w:sz="0" w:space="0" w:color="auto"/>
        <w:left w:val="none" w:sz="0" w:space="0" w:color="auto"/>
        <w:bottom w:val="none" w:sz="0" w:space="0" w:color="auto"/>
        <w:right w:val="none" w:sz="0" w:space="0" w:color="auto"/>
      </w:divBdr>
    </w:div>
    <w:div w:id="1155224266">
      <w:bodyDiv w:val="1"/>
      <w:marLeft w:val="0"/>
      <w:marRight w:val="0"/>
      <w:marTop w:val="0"/>
      <w:marBottom w:val="0"/>
      <w:divBdr>
        <w:top w:val="none" w:sz="0" w:space="0" w:color="auto"/>
        <w:left w:val="none" w:sz="0" w:space="0" w:color="auto"/>
        <w:bottom w:val="none" w:sz="0" w:space="0" w:color="auto"/>
        <w:right w:val="none" w:sz="0" w:space="0" w:color="auto"/>
      </w:divBdr>
    </w:div>
    <w:div w:id="1166435243">
      <w:bodyDiv w:val="1"/>
      <w:marLeft w:val="0"/>
      <w:marRight w:val="0"/>
      <w:marTop w:val="0"/>
      <w:marBottom w:val="0"/>
      <w:divBdr>
        <w:top w:val="none" w:sz="0" w:space="0" w:color="auto"/>
        <w:left w:val="none" w:sz="0" w:space="0" w:color="auto"/>
        <w:bottom w:val="none" w:sz="0" w:space="0" w:color="auto"/>
        <w:right w:val="none" w:sz="0" w:space="0" w:color="auto"/>
      </w:divBdr>
    </w:div>
    <w:div w:id="1171212799">
      <w:bodyDiv w:val="1"/>
      <w:marLeft w:val="0"/>
      <w:marRight w:val="0"/>
      <w:marTop w:val="0"/>
      <w:marBottom w:val="0"/>
      <w:divBdr>
        <w:top w:val="none" w:sz="0" w:space="0" w:color="auto"/>
        <w:left w:val="none" w:sz="0" w:space="0" w:color="auto"/>
        <w:bottom w:val="none" w:sz="0" w:space="0" w:color="auto"/>
        <w:right w:val="none" w:sz="0" w:space="0" w:color="auto"/>
      </w:divBdr>
    </w:div>
    <w:div w:id="1176575881">
      <w:bodyDiv w:val="1"/>
      <w:marLeft w:val="0"/>
      <w:marRight w:val="0"/>
      <w:marTop w:val="0"/>
      <w:marBottom w:val="0"/>
      <w:divBdr>
        <w:top w:val="none" w:sz="0" w:space="0" w:color="auto"/>
        <w:left w:val="none" w:sz="0" w:space="0" w:color="auto"/>
        <w:bottom w:val="none" w:sz="0" w:space="0" w:color="auto"/>
        <w:right w:val="none" w:sz="0" w:space="0" w:color="auto"/>
      </w:divBdr>
    </w:div>
    <w:div w:id="1177692966">
      <w:bodyDiv w:val="1"/>
      <w:marLeft w:val="0"/>
      <w:marRight w:val="0"/>
      <w:marTop w:val="0"/>
      <w:marBottom w:val="0"/>
      <w:divBdr>
        <w:top w:val="none" w:sz="0" w:space="0" w:color="auto"/>
        <w:left w:val="none" w:sz="0" w:space="0" w:color="auto"/>
        <w:bottom w:val="none" w:sz="0" w:space="0" w:color="auto"/>
        <w:right w:val="none" w:sz="0" w:space="0" w:color="auto"/>
      </w:divBdr>
    </w:div>
    <w:div w:id="1183401289">
      <w:bodyDiv w:val="1"/>
      <w:marLeft w:val="0"/>
      <w:marRight w:val="0"/>
      <w:marTop w:val="0"/>
      <w:marBottom w:val="0"/>
      <w:divBdr>
        <w:top w:val="none" w:sz="0" w:space="0" w:color="auto"/>
        <w:left w:val="none" w:sz="0" w:space="0" w:color="auto"/>
        <w:bottom w:val="none" w:sz="0" w:space="0" w:color="auto"/>
        <w:right w:val="none" w:sz="0" w:space="0" w:color="auto"/>
      </w:divBdr>
    </w:div>
    <w:div w:id="1194884272">
      <w:bodyDiv w:val="1"/>
      <w:marLeft w:val="0"/>
      <w:marRight w:val="0"/>
      <w:marTop w:val="0"/>
      <w:marBottom w:val="0"/>
      <w:divBdr>
        <w:top w:val="none" w:sz="0" w:space="0" w:color="auto"/>
        <w:left w:val="none" w:sz="0" w:space="0" w:color="auto"/>
        <w:bottom w:val="none" w:sz="0" w:space="0" w:color="auto"/>
        <w:right w:val="none" w:sz="0" w:space="0" w:color="auto"/>
      </w:divBdr>
    </w:div>
    <w:div w:id="1200243972">
      <w:bodyDiv w:val="1"/>
      <w:marLeft w:val="0"/>
      <w:marRight w:val="0"/>
      <w:marTop w:val="0"/>
      <w:marBottom w:val="0"/>
      <w:divBdr>
        <w:top w:val="none" w:sz="0" w:space="0" w:color="auto"/>
        <w:left w:val="none" w:sz="0" w:space="0" w:color="auto"/>
        <w:bottom w:val="none" w:sz="0" w:space="0" w:color="auto"/>
        <w:right w:val="none" w:sz="0" w:space="0" w:color="auto"/>
      </w:divBdr>
    </w:div>
    <w:div w:id="1205409855">
      <w:bodyDiv w:val="1"/>
      <w:marLeft w:val="0"/>
      <w:marRight w:val="0"/>
      <w:marTop w:val="0"/>
      <w:marBottom w:val="0"/>
      <w:divBdr>
        <w:top w:val="none" w:sz="0" w:space="0" w:color="auto"/>
        <w:left w:val="none" w:sz="0" w:space="0" w:color="auto"/>
        <w:bottom w:val="none" w:sz="0" w:space="0" w:color="auto"/>
        <w:right w:val="none" w:sz="0" w:space="0" w:color="auto"/>
      </w:divBdr>
    </w:div>
    <w:div w:id="1210649262">
      <w:bodyDiv w:val="1"/>
      <w:marLeft w:val="0"/>
      <w:marRight w:val="0"/>
      <w:marTop w:val="0"/>
      <w:marBottom w:val="0"/>
      <w:divBdr>
        <w:top w:val="none" w:sz="0" w:space="0" w:color="auto"/>
        <w:left w:val="none" w:sz="0" w:space="0" w:color="auto"/>
        <w:bottom w:val="none" w:sz="0" w:space="0" w:color="auto"/>
        <w:right w:val="none" w:sz="0" w:space="0" w:color="auto"/>
      </w:divBdr>
    </w:div>
    <w:div w:id="1217548745">
      <w:bodyDiv w:val="1"/>
      <w:marLeft w:val="0"/>
      <w:marRight w:val="0"/>
      <w:marTop w:val="0"/>
      <w:marBottom w:val="0"/>
      <w:divBdr>
        <w:top w:val="none" w:sz="0" w:space="0" w:color="auto"/>
        <w:left w:val="none" w:sz="0" w:space="0" w:color="auto"/>
        <w:bottom w:val="none" w:sz="0" w:space="0" w:color="auto"/>
        <w:right w:val="none" w:sz="0" w:space="0" w:color="auto"/>
      </w:divBdr>
    </w:div>
    <w:div w:id="1219778955">
      <w:bodyDiv w:val="1"/>
      <w:marLeft w:val="0"/>
      <w:marRight w:val="0"/>
      <w:marTop w:val="0"/>
      <w:marBottom w:val="0"/>
      <w:divBdr>
        <w:top w:val="none" w:sz="0" w:space="0" w:color="auto"/>
        <w:left w:val="none" w:sz="0" w:space="0" w:color="auto"/>
        <w:bottom w:val="none" w:sz="0" w:space="0" w:color="auto"/>
        <w:right w:val="none" w:sz="0" w:space="0" w:color="auto"/>
      </w:divBdr>
    </w:div>
    <w:div w:id="1229800239">
      <w:bodyDiv w:val="1"/>
      <w:marLeft w:val="0"/>
      <w:marRight w:val="0"/>
      <w:marTop w:val="0"/>
      <w:marBottom w:val="0"/>
      <w:divBdr>
        <w:top w:val="none" w:sz="0" w:space="0" w:color="auto"/>
        <w:left w:val="none" w:sz="0" w:space="0" w:color="auto"/>
        <w:bottom w:val="none" w:sz="0" w:space="0" w:color="auto"/>
        <w:right w:val="none" w:sz="0" w:space="0" w:color="auto"/>
      </w:divBdr>
    </w:div>
    <w:div w:id="1233153417">
      <w:bodyDiv w:val="1"/>
      <w:marLeft w:val="0"/>
      <w:marRight w:val="0"/>
      <w:marTop w:val="0"/>
      <w:marBottom w:val="0"/>
      <w:divBdr>
        <w:top w:val="none" w:sz="0" w:space="0" w:color="auto"/>
        <w:left w:val="none" w:sz="0" w:space="0" w:color="auto"/>
        <w:bottom w:val="none" w:sz="0" w:space="0" w:color="auto"/>
        <w:right w:val="none" w:sz="0" w:space="0" w:color="auto"/>
      </w:divBdr>
      <w:divsChild>
        <w:div w:id="1423409150">
          <w:marLeft w:val="0"/>
          <w:marRight w:val="0"/>
          <w:marTop w:val="0"/>
          <w:marBottom w:val="0"/>
          <w:divBdr>
            <w:top w:val="none" w:sz="0" w:space="0" w:color="auto"/>
            <w:left w:val="none" w:sz="0" w:space="0" w:color="auto"/>
            <w:bottom w:val="none" w:sz="0" w:space="0" w:color="auto"/>
            <w:right w:val="none" w:sz="0" w:space="0" w:color="auto"/>
          </w:divBdr>
        </w:div>
        <w:div w:id="1795440463">
          <w:marLeft w:val="0"/>
          <w:marRight w:val="0"/>
          <w:marTop w:val="0"/>
          <w:marBottom w:val="0"/>
          <w:divBdr>
            <w:top w:val="none" w:sz="0" w:space="0" w:color="auto"/>
            <w:left w:val="none" w:sz="0" w:space="0" w:color="auto"/>
            <w:bottom w:val="none" w:sz="0" w:space="0" w:color="auto"/>
            <w:right w:val="none" w:sz="0" w:space="0" w:color="auto"/>
          </w:divBdr>
        </w:div>
      </w:divsChild>
    </w:div>
    <w:div w:id="1242252347">
      <w:bodyDiv w:val="1"/>
      <w:marLeft w:val="0"/>
      <w:marRight w:val="0"/>
      <w:marTop w:val="0"/>
      <w:marBottom w:val="0"/>
      <w:divBdr>
        <w:top w:val="none" w:sz="0" w:space="0" w:color="auto"/>
        <w:left w:val="none" w:sz="0" w:space="0" w:color="auto"/>
        <w:bottom w:val="none" w:sz="0" w:space="0" w:color="auto"/>
        <w:right w:val="none" w:sz="0" w:space="0" w:color="auto"/>
      </w:divBdr>
      <w:divsChild>
        <w:div w:id="558639189">
          <w:marLeft w:val="0"/>
          <w:marRight w:val="0"/>
          <w:marTop w:val="0"/>
          <w:marBottom w:val="0"/>
          <w:divBdr>
            <w:top w:val="none" w:sz="0" w:space="0" w:color="auto"/>
            <w:left w:val="none" w:sz="0" w:space="0" w:color="auto"/>
            <w:bottom w:val="none" w:sz="0" w:space="0" w:color="auto"/>
            <w:right w:val="none" w:sz="0" w:space="0" w:color="auto"/>
          </w:divBdr>
          <w:divsChild>
            <w:div w:id="1653944701">
              <w:marLeft w:val="0"/>
              <w:marRight w:val="0"/>
              <w:marTop w:val="0"/>
              <w:marBottom w:val="0"/>
              <w:divBdr>
                <w:top w:val="none" w:sz="0" w:space="0" w:color="auto"/>
                <w:left w:val="none" w:sz="0" w:space="0" w:color="auto"/>
                <w:bottom w:val="none" w:sz="0" w:space="0" w:color="auto"/>
                <w:right w:val="none" w:sz="0" w:space="0" w:color="auto"/>
              </w:divBdr>
              <w:divsChild>
                <w:div w:id="205261260">
                  <w:marLeft w:val="0"/>
                  <w:marRight w:val="0"/>
                  <w:marTop w:val="0"/>
                  <w:marBottom w:val="0"/>
                  <w:divBdr>
                    <w:top w:val="none" w:sz="0" w:space="0" w:color="auto"/>
                    <w:left w:val="none" w:sz="0" w:space="0" w:color="auto"/>
                    <w:bottom w:val="none" w:sz="0" w:space="0" w:color="auto"/>
                    <w:right w:val="none" w:sz="0" w:space="0" w:color="auto"/>
                  </w:divBdr>
                  <w:divsChild>
                    <w:div w:id="141435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177503">
      <w:bodyDiv w:val="1"/>
      <w:marLeft w:val="0"/>
      <w:marRight w:val="0"/>
      <w:marTop w:val="0"/>
      <w:marBottom w:val="0"/>
      <w:divBdr>
        <w:top w:val="none" w:sz="0" w:space="0" w:color="auto"/>
        <w:left w:val="none" w:sz="0" w:space="0" w:color="auto"/>
        <w:bottom w:val="none" w:sz="0" w:space="0" w:color="auto"/>
        <w:right w:val="none" w:sz="0" w:space="0" w:color="auto"/>
      </w:divBdr>
    </w:div>
    <w:div w:id="1277249687">
      <w:bodyDiv w:val="1"/>
      <w:marLeft w:val="0"/>
      <w:marRight w:val="0"/>
      <w:marTop w:val="0"/>
      <w:marBottom w:val="0"/>
      <w:divBdr>
        <w:top w:val="none" w:sz="0" w:space="0" w:color="auto"/>
        <w:left w:val="none" w:sz="0" w:space="0" w:color="auto"/>
        <w:bottom w:val="none" w:sz="0" w:space="0" w:color="auto"/>
        <w:right w:val="none" w:sz="0" w:space="0" w:color="auto"/>
      </w:divBdr>
    </w:div>
    <w:div w:id="1279066666">
      <w:bodyDiv w:val="1"/>
      <w:marLeft w:val="0"/>
      <w:marRight w:val="0"/>
      <w:marTop w:val="0"/>
      <w:marBottom w:val="0"/>
      <w:divBdr>
        <w:top w:val="none" w:sz="0" w:space="0" w:color="auto"/>
        <w:left w:val="none" w:sz="0" w:space="0" w:color="auto"/>
        <w:bottom w:val="none" w:sz="0" w:space="0" w:color="auto"/>
        <w:right w:val="none" w:sz="0" w:space="0" w:color="auto"/>
      </w:divBdr>
    </w:div>
    <w:div w:id="1285503155">
      <w:bodyDiv w:val="1"/>
      <w:marLeft w:val="0"/>
      <w:marRight w:val="0"/>
      <w:marTop w:val="0"/>
      <w:marBottom w:val="0"/>
      <w:divBdr>
        <w:top w:val="none" w:sz="0" w:space="0" w:color="auto"/>
        <w:left w:val="none" w:sz="0" w:space="0" w:color="auto"/>
        <w:bottom w:val="none" w:sz="0" w:space="0" w:color="auto"/>
        <w:right w:val="none" w:sz="0" w:space="0" w:color="auto"/>
      </w:divBdr>
    </w:div>
    <w:div w:id="1286306613">
      <w:bodyDiv w:val="1"/>
      <w:marLeft w:val="0"/>
      <w:marRight w:val="0"/>
      <w:marTop w:val="0"/>
      <w:marBottom w:val="0"/>
      <w:divBdr>
        <w:top w:val="none" w:sz="0" w:space="0" w:color="auto"/>
        <w:left w:val="none" w:sz="0" w:space="0" w:color="auto"/>
        <w:bottom w:val="none" w:sz="0" w:space="0" w:color="auto"/>
        <w:right w:val="none" w:sz="0" w:space="0" w:color="auto"/>
      </w:divBdr>
    </w:div>
    <w:div w:id="1291090174">
      <w:bodyDiv w:val="1"/>
      <w:marLeft w:val="0"/>
      <w:marRight w:val="0"/>
      <w:marTop w:val="0"/>
      <w:marBottom w:val="0"/>
      <w:divBdr>
        <w:top w:val="none" w:sz="0" w:space="0" w:color="auto"/>
        <w:left w:val="none" w:sz="0" w:space="0" w:color="auto"/>
        <w:bottom w:val="none" w:sz="0" w:space="0" w:color="auto"/>
        <w:right w:val="none" w:sz="0" w:space="0" w:color="auto"/>
      </w:divBdr>
    </w:div>
    <w:div w:id="1306473135">
      <w:bodyDiv w:val="1"/>
      <w:marLeft w:val="0"/>
      <w:marRight w:val="0"/>
      <w:marTop w:val="0"/>
      <w:marBottom w:val="0"/>
      <w:divBdr>
        <w:top w:val="none" w:sz="0" w:space="0" w:color="auto"/>
        <w:left w:val="none" w:sz="0" w:space="0" w:color="auto"/>
        <w:bottom w:val="none" w:sz="0" w:space="0" w:color="auto"/>
        <w:right w:val="none" w:sz="0" w:space="0" w:color="auto"/>
      </w:divBdr>
    </w:div>
    <w:div w:id="1315840363">
      <w:bodyDiv w:val="1"/>
      <w:marLeft w:val="0"/>
      <w:marRight w:val="0"/>
      <w:marTop w:val="0"/>
      <w:marBottom w:val="0"/>
      <w:divBdr>
        <w:top w:val="none" w:sz="0" w:space="0" w:color="auto"/>
        <w:left w:val="none" w:sz="0" w:space="0" w:color="auto"/>
        <w:bottom w:val="none" w:sz="0" w:space="0" w:color="auto"/>
        <w:right w:val="none" w:sz="0" w:space="0" w:color="auto"/>
      </w:divBdr>
    </w:div>
    <w:div w:id="1330520764">
      <w:bodyDiv w:val="1"/>
      <w:marLeft w:val="0"/>
      <w:marRight w:val="0"/>
      <w:marTop w:val="0"/>
      <w:marBottom w:val="0"/>
      <w:divBdr>
        <w:top w:val="none" w:sz="0" w:space="0" w:color="auto"/>
        <w:left w:val="none" w:sz="0" w:space="0" w:color="auto"/>
        <w:bottom w:val="none" w:sz="0" w:space="0" w:color="auto"/>
        <w:right w:val="none" w:sz="0" w:space="0" w:color="auto"/>
      </w:divBdr>
    </w:div>
    <w:div w:id="1334533974">
      <w:bodyDiv w:val="1"/>
      <w:marLeft w:val="0"/>
      <w:marRight w:val="0"/>
      <w:marTop w:val="0"/>
      <w:marBottom w:val="0"/>
      <w:divBdr>
        <w:top w:val="none" w:sz="0" w:space="0" w:color="auto"/>
        <w:left w:val="none" w:sz="0" w:space="0" w:color="auto"/>
        <w:bottom w:val="none" w:sz="0" w:space="0" w:color="auto"/>
        <w:right w:val="none" w:sz="0" w:space="0" w:color="auto"/>
      </w:divBdr>
    </w:div>
    <w:div w:id="1360276739">
      <w:bodyDiv w:val="1"/>
      <w:marLeft w:val="0"/>
      <w:marRight w:val="0"/>
      <w:marTop w:val="0"/>
      <w:marBottom w:val="0"/>
      <w:divBdr>
        <w:top w:val="none" w:sz="0" w:space="0" w:color="auto"/>
        <w:left w:val="none" w:sz="0" w:space="0" w:color="auto"/>
        <w:bottom w:val="none" w:sz="0" w:space="0" w:color="auto"/>
        <w:right w:val="none" w:sz="0" w:space="0" w:color="auto"/>
      </w:divBdr>
      <w:divsChild>
        <w:div w:id="279186155">
          <w:marLeft w:val="0"/>
          <w:marRight w:val="0"/>
          <w:marTop w:val="0"/>
          <w:marBottom w:val="0"/>
          <w:divBdr>
            <w:top w:val="none" w:sz="0" w:space="0" w:color="auto"/>
            <w:left w:val="none" w:sz="0" w:space="0" w:color="auto"/>
            <w:bottom w:val="none" w:sz="0" w:space="0" w:color="auto"/>
            <w:right w:val="none" w:sz="0" w:space="0" w:color="auto"/>
          </w:divBdr>
          <w:divsChild>
            <w:div w:id="1371880526">
              <w:marLeft w:val="0"/>
              <w:marRight w:val="0"/>
              <w:marTop w:val="0"/>
              <w:marBottom w:val="0"/>
              <w:divBdr>
                <w:top w:val="none" w:sz="0" w:space="0" w:color="auto"/>
                <w:left w:val="none" w:sz="0" w:space="0" w:color="auto"/>
                <w:bottom w:val="none" w:sz="0" w:space="0" w:color="auto"/>
                <w:right w:val="none" w:sz="0" w:space="0" w:color="auto"/>
              </w:divBdr>
              <w:divsChild>
                <w:div w:id="1567257714">
                  <w:marLeft w:val="0"/>
                  <w:marRight w:val="0"/>
                  <w:marTop w:val="0"/>
                  <w:marBottom w:val="0"/>
                  <w:divBdr>
                    <w:top w:val="none" w:sz="0" w:space="0" w:color="auto"/>
                    <w:left w:val="none" w:sz="0" w:space="0" w:color="auto"/>
                    <w:bottom w:val="none" w:sz="0" w:space="0" w:color="auto"/>
                    <w:right w:val="none" w:sz="0" w:space="0" w:color="auto"/>
                  </w:divBdr>
                  <w:divsChild>
                    <w:div w:id="60346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463100">
          <w:marLeft w:val="0"/>
          <w:marRight w:val="0"/>
          <w:marTop w:val="0"/>
          <w:marBottom w:val="0"/>
          <w:divBdr>
            <w:top w:val="none" w:sz="0" w:space="0" w:color="auto"/>
            <w:left w:val="none" w:sz="0" w:space="0" w:color="auto"/>
            <w:bottom w:val="none" w:sz="0" w:space="0" w:color="auto"/>
            <w:right w:val="none" w:sz="0" w:space="0" w:color="auto"/>
          </w:divBdr>
          <w:divsChild>
            <w:div w:id="685905849">
              <w:marLeft w:val="0"/>
              <w:marRight w:val="0"/>
              <w:marTop w:val="0"/>
              <w:marBottom w:val="0"/>
              <w:divBdr>
                <w:top w:val="none" w:sz="0" w:space="0" w:color="auto"/>
                <w:left w:val="none" w:sz="0" w:space="0" w:color="auto"/>
                <w:bottom w:val="none" w:sz="0" w:space="0" w:color="auto"/>
                <w:right w:val="none" w:sz="0" w:space="0" w:color="auto"/>
              </w:divBdr>
              <w:divsChild>
                <w:div w:id="1713994688">
                  <w:marLeft w:val="0"/>
                  <w:marRight w:val="0"/>
                  <w:marTop w:val="0"/>
                  <w:marBottom w:val="0"/>
                  <w:divBdr>
                    <w:top w:val="none" w:sz="0" w:space="0" w:color="auto"/>
                    <w:left w:val="none" w:sz="0" w:space="0" w:color="auto"/>
                    <w:bottom w:val="none" w:sz="0" w:space="0" w:color="auto"/>
                    <w:right w:val="none" w:sz="0" w:space="0" w:color="auto"/>
                  </w:divBdr>
                  <w:divsChild>
                    <w:div w:id="193962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786582">
      <w:bodyDiv w:val="1"/>
      <w:marLeft w:val="0"/>
      <w:marRight w:val="0"/>
      <w:marTop w:val="0"/>
      <w:marBottom w:val="0"/>
      <w:divBdr>
        <w:top w:val="none" w:sz="0" w:space="0" w:color="auto"/>
        <w:left w:val="none" w:sz="0" w:space="0" w:color="auto"/>
        <w:bottom w:val="none" w:sz="0" w:space="0" w:color="auto"/>
        <w:right w:val="none" w:sz="0" w:space="0" w:color="auto"/>
      </w:divBdr>
    </w:div>
    <w:div w:id="1378772605">
      <w:bodyDiv w:val="1"/>
      <w:marLeft w:val="0"/>
      <w:marRight w:val="0"/>
      <w:marTop w:val="0"/>
      <w:marBottom w:val="0"/>
      <w:divBdr>
        <w:top w:val="none" w:sz="0" w:space="0" w:color="auto"/>
        <w:left w:val="none" w:sz="0" w:space="0" w:color="auto"/>
        <w:bottom w:val="none" w:sz="0" w:space="0" w:color="auto"/>
        <w:right w:val="none" w:sz="0" w:space="0" w:color="auto"/>
      </w:divBdr>
    </w:div>
    <w:div w:id="1408575830">
      <w:bodyDiv w:val="1"/>
      <w:marLeft w:val="0"/>
      <w:marRight w:val="0"/>
      <w:marTop w:val="0"/>
      <w:marBottom w:val="0"/>
      <w:divBdr>
        <w:top w:val="none" w:sz="0" w:space="0" w:color="auto"/>
        <w:left w:val="none" w:sz="0" w:space="0" w:color="auto"/>
        <w:bottom w:val="none" w:sz="0" w:space="0" w:color="auto"/>
        <w:right w:val="none" w:sz="0" w:space="0" w:color="auto"/>
      </w:divBdr>
    </w:div>
    <w:div w:id="1444572999">
      <w:bodyDiv w:val="1"/>
      <w:marLeft w:val="0"/>
      <w:marRight w:val="0"/>
      <w:marTop w:val="0"/>
      <w:marBottom w:val="0"/>
      <w:divBdr>
        <w:top w:val="none" w:sz="0" w:space="0" w:color="auto"/>
        <w:left w:val="none" w:sz="0" w:space="0" w:color="auto"/>
        <w:bottom w:val="none" w:sz="0" w:space="0" w:color="auto"/>
        <w:right w:val="none" w:sz="0" w:space="0" w:color="auto"/>
      </w:divBdr>
    </w:div>
    <w:div w:id="1464544845">
      <w:bodyDiv w:val="1"/>
      <w:marLeft w:val="0"/>
      <w:marRight w:val="0"/>
      <w:marTop w:val="0"/>
      <w:marBottom w:val="0"/>
      <w:divBdr>
        <w:top w:val="none" w:sz="0" w:space="0" w:color="auto"/>
        <w:left w:val="none" w:sz="0" w:space="0" w:color="auto"/>
        <w:bottom w:val="none" w:sz="0" w:space="0" w:color="auto"/>
        <w:right w:val="none" w:sz="0" w:space="0" w:color="auto"/>
      </w:divBdr>
    </w:div>
    <w:div w:id="1472626332">
      <w:bodyDiv w:val="1"/>
      <w:marLeft w:val="0"/>
      <w:marRight w:val="0"/>
      <w:marTop w:val="0"/>
      <w:marBottom w:val="0"/>
      <w:divBdr>
        <w:top w:val="none" w:sz="0" w:space="0" w:color="auto"/>
        <w:left w:val="none" w:sz="0" w:space="0" w:color="auto"/>
        <w:bottom w:val="none" w:sz="0" w:space="0" w:color="auto"/>
        <w:right w:val="none" w:sz="0" w:space="0" w:color="auto"/>
      </w:divBdr>
    </w:div>
    <w:div w:id="1493907366">
      <w:bodyDiv w:val="1"/>
      <w:marLeft w:val="0"/>
      <w:marRight w:val="0"/>
      <w:marTop w:val="0"/>
      <w:marBottom w:val="0"/>
      <w:divBdr>
        <w:top w:val="none" w:sz="0" w:space="0" w:color="auto"/>
        <w:left w:val="none" w:sz="0" w:space="0" w:color="auto"/>
        <w:bottom w:val="none" w:sz="0" w:space="0" w:color="auto"/>
        <w:right w:val="none" w:sz="0" w:space="0" w:color="auto"/>
      </w:divBdr>
    </w:div>
    <w:div w:id="1498498281">
      <w:bodyDiv w:val="1"/>
      <w:marLeft w:val="0"/>
      <w:marRight w:val="0"/>
      <w:marTop w:val="0"/>
      <w:marBottom w:val="0"/>
      <w:divBdr>
        <w:top w:val="none" w:sz="0" w:space="0" w:color="auto"/>
        <w:left w:val="none" w:sz="0" w:space="0" w:color="auto"/>
        <w:bottom w:val="none" w:sz="0" w:space="0" w:color="auto"/>
        <w:right w:val="none" w:sz="0" w:space="0" w:color="auto"/>
      </w:divBdr>
    </w:div>
    <w:div w:id="1507861383">
      <w:bodyDiv w:val="1"/>
      <w:marLeft w:val="0"/>
      <w:marRight w:val="0"/>
      <w:marTop w:val="0"/>
      <w:marBottom w:val="0"/>
      <w:divBdr>
        <w:top w:val="none" w:sz="0" w:space="0" w:color="auto"/>
        <w:left w:val="none" w:sz="0" w:space="0" w:color="auto"/>
        <w:bottom w:val="none" w:sz="0" w:space="0" w:color="auto"/>
        <w:right w:val="none" w:sz="0" w:space="0" w:color="auto"/>
      </w:divBdr>
    </w:div>
    <w:div w:id="1527475481">
      <w:bodyDiv w:val="1"/>
      <w:marLeft w:val="0"/>
      <w:marRight w:val="0"/>
      <w:marTop w:val="0"/>
      <w:marBottom w:val="0"/>
      <w:divBdr>
        <w:top w:val="none" w:sz="0" w:space="0" w:color="auto"/>
        <w:left w:val="none" w:sz="0" w:space="0" w:color="auto"/>
        <w:bottom w:val="none" w:sz="0" w:space="0" w:color="auto"/>
        <w:right w:val="none" w:sz="0" w:space="0" w:color="auto"/>
      </w:divBdr>
    </w:div>
    <w:div w:id="1533416325">
      <w:bodyDiv w:val="1"/>
      <w:marLeft w:val="0"/>
      <w:marRight w:val="0"/>
      <w:marTop w:val="0"/>
      <w:marBottom w:val="0"/>
      <w:divBdr>
        <w:top w:val="none" w:sz="0" w:space="0" w:color="auto"/>
        <w:left w:val="none" w:sz="0" w:space="0" w:color="auto"/>
        <w:bottom w:val="none" w:sz="0" w:space="0" w:color="auto"/>
        <w:right w:val="none" w:sz="0" w:space="0" w:color="auto"/>
      </w:divBdr>
    </w:div>
    <w:div w:id="1533616008">
      <w:bodyDiv w:val="1"/>
      <w:marLeft w:val="0"/>
      <w:marRight w:val="0"/>
      <w:marTop w:val="0"/>
      <w:marBottom w:val="0"/>
      <w:divBdr>
        <w:top w:val="none" w:sz="0" w:space="0" w:color="auto"/>
        <w:left w:val="none" w:sz="0" w:space="0" w:color="auto"/>
        <w:bottom w:val="none" w:sz="0" w:space="0" w:color="auto"/>
        <w:right w:val="none" w:sz="0" w:space="0" w:color="auto"/>
      </w:divBdr>
    </w:div>
    <w:div w:id="1541547024">
      <w:bodyDiv w:val="1"/>
      <w:marLeft w:val="0"/>
      <w:marRight w:val="0"/>
      <w:marTop w:val="0"/>
      <w:marBottom w:val="0"/>
      <w:divBdr>
        <w:top w:val="none" w:sz="0" w:space="0" w:color="auto"/>
        <w:left w:val="none" w:sz="0" w:space="0" w:color="auto"/>
        <w:bottom w:val="none" w:sz="0" w:space="0" w:color="auto"/>
        <w:right w:val="none" w:sz="0" w:space="0" w:color="auto"/>
      </w:divBdr>
    </w:div>
    <w:div w:id="1567956854">
      <w:bodyDiv w:val="1"/>
      <w:marLeft w:val="0"/>
      <w:marRight w:val="0"/>
      <w:marTop w:val="0"/>
      <w:marBottom w:val="0"/>
      <w:divBdr>
        <w:top w:val="none" w:sz="0" w:space="0" w:color="auto"/>
        <w:left w:val="none" w:sz="0" w:space="0" w:color="auto"/>
        <w:bottom w:val="none" w:sz="0" w:space="0" w:color="auto"/>
        <w:right w:val="none" w:sz="0" w:space="0" w:color="auto"/>
      </w:divBdr>
    </w:div>
    <w:div w:id="1570506291">
      <w:bodyDiv w:val="1"/>
      <w:marLeft w:val="0"/>
      <w:marRight w:val="0"/>
      <w:marTop w:val="0"/>
      <w:marBottom w:val="0"/>
      <w:divBdr>
        <w:top w:val="none" w:sz="0" w:space="0" w:color="auto"/>
        <w:left w:val="none" w:sz="0" w:space="0" w:color="auto"/>
        <w:bottom w:val="none" w:sz="0" w:space="0" w:color="auto"/>
        <w:right w:val="none" w:sz="0" w:space="0" w:color="auto"/>
      </w:divBdr>
    </w:div>
    <w:div w:id="1596329263">
      <w:bodyDiv w:val="1"/>
      <w:marLeft w:val="0"/>
      <w:marRight w:val="0"/>
      <w:marTop w:val="0"/>
      <w:marBottom w:val="0"/>
      <w:divBdr>
        <w:top w:val="none" w:sz="0" w:space="0" w:color="auto"/>
        <w:left w:val="none" w:sz="0" w:space="0" w:color="auto"/>
        <w:bottom w:val="none" w:sz="0" w:space="0" w:color="auto"/>
        <w:right w:val="none" w:sz="0" w:space="0" w:color="auto"/>
      </w:divBdr>
    </w:div>
    <w:div w:id="1600748763">
      <w:bodyDiv w:val="1"/>
      <w:marLeft w:val="0"/>
      <w:marRight w:val="0"/>
      <w:marTop w:val="0"/>
      <w:marBottom w:val="0"/>
      <w:divBdr>
        <w:top w:val="none" w:sz="0" w:space="0" w:color="auto"/>
        <w:left w:val="none" w:sz="0" w:space="0" w:color="auto"/>
        <w:bottom w:val="none" w:sz="0" w:space="0" w:color="auto"/>
        <w:right w:val="none" w:sz="0" w:space="0" w:color="auto"/>
      </w:divBdr>
    </w:div>
    <w:div w:id="1627731303">
      <w:bodyDiv w:val="1"/>
      <w:marLeft w:val="0"/>
      <w:marRight w:val="0"/>
      <w:marTop w:val="0"/>
      <w:marBottom w:val="0"/>
      <w:divBdr>
        <w:top w:val="none" w:sz="0" w:space="0" w:color="auto"/>
        <w:left w:val="none" w:sz="0" w:space="0" w:color="auto"/>
        <w:bottom w:val="none" w:sz="0" w:space="0" w:color="auto"/>
        <w:right w:val="none" w:sz="0" w:space="0" w:color="auto"/>
      </w:divBdr>
      <w:divsChild>
        <w:div w:id="631595066">
          <w:marLeft w:val="547"/>
          <w:marRight w:val="0"/>
          <w:marTop w:val="0"/>
          <w:marBottom w:val="0"/>
          <w:divBdr>
            <w:top w:val="none" w:sz="0" w:space="0" w:color="auto"/>
            <w:left w:val="none" w:sz="0" w:space="0" w:color="auto"/>
            <w:bottom w:val="none" w:sz="0" w:space="0" w:color="auto"/>
            <w:right w:val="none" w:sz="0" w:space="0" w:color="auto"/>
          </w:divBdr>
        </w:div>
        <w:div w:id="1229222973">
          <w:marLeft w:val="547"/>
          <w:marRight w:val="0"/>
          <w:marTop w:val="0"/>
          <w:marBottom w:val="0"/>
          <w:divBdr>
            <w:top w:val="none" w:sz="0" w:space="0" w:color="auto"/>
            <w:left w:val="none" w:sz="0" w:space="0" w:color="auto"/>
            <w:bottom w:val="none" w:sz="0" w:space="0" w:color="auto"/>
            <w:right w:val="none" w:sz="0" w:space="0" w:color="auto"/>
          </w:divBdr>
        </w:div>
      </w:divsChild>
    </w:div>
    <w:div w:id="1635065398">
      <w:bodyDiv w:val="1"/>
      <w:marLeft w:val="0"/>
      <w:marRight w:val="0"/>
      <w:marTop w:val="0"/>
      <w:marBottom w:val="0"/>
      <w:divBdr>
        <w:top w:val="none" w:sz="0" w:space="0" w:color="auto"/>
        <w:left w:val="none" w:sz="0" w:space="0" w:color="auto"/>
        <w:bottom w:val="none" w:sz="0" w:space="0" w:color="auto"/>
        <w:right w:val="none" w:sz="0" w:space="0" w:color="auto"/>
      </w:divBdr>
    </w:div>
    <w:div w:id="1647003367">
      <w:bodyDiv w:val="1"/>
      <w:marLeft w:val="0"/>
      <w:marRight w:val="0"/>
      <w:marTop w:val="0"/>
      <w:marBottom w:val="0"/>
      <w:divBdr>
        <w:top w:val="none" w:sz="0" w:space="0" w:color="auto"/>
        <w:left w:val="none" w:sz="0" w:space="0" w:color="auto"/>
        <w:bottom w:val="none" w:sz="0" w:space="0" w:color="auto"/>
        <w:right w:val="none" w:sz="0" w:space="0" w:color="auto"/>
      </w:divBdr>
    </w:div>
    <w:div w:id="1673993218">
      <w:bodyDiv w:val="1"/>
      <w:marLeft w:val="0"/>
      <w:marRight w:val="0"/>
      <w:marTop w:val="0"/>
      <w:marBottom w:val="0"/>
      <w:divBdr>
        <w:top w:val="none" w:sz="0" w:space="0" w:color="auto"/>
        <w:left w:val="none" w:sz="0" w:space="0" w:color="auto"/>
        <w:bottom w:val="none" w:sz="0" w:space="0" w:color="auto"/>
        <w:right w:val="none" w:sz="0" w:space="0" w:color="auto"/>
      </w:divBdr>
    </w:div>
    <w:div w:id="1684281219">
      <w:bodyDiv w:val="1"/>
      <w:marLeft w:val="0"/>
      <w:marRight w:val="0"/>
      <w:marTop w:val="0"/>
      <w:marBottom w:val="0"/>
      <w:divBdr>
        <w:top w:val="none" w:sz="0" w:space="0" w:color="auto"/>
        <w:left w:val="none" w:sz="0" w:space="0" w:color="auto"/>
        <w:bottom w:val="none" w:sz="0" w:space="0" w:color="auto"/>
        <w:right w:val="none" w:sz="0" w:space="0" w:color="auto"/>
      </w:divBdr>
    </w:div>
    <w:div w:id="1689717949">
      <w:bodyDiv w:val="1"/>
      <w:marLeft w:val="0"/>
      <w:marRight w:val="0"/>
      <w:marTop w:val="0"/>
      <w:marBottom w:val="0"/>
      <w:divBdr>
        <w:top w:val="none" w:sz="0" w:space="0" w:color="auto"/>
        <w:left w:val="none" w:sz="0" w:space="0" w:color="auto"/>
        <w:bottom w:val="none" w:sz="0" w:space="0" w:color="auto"/>
        <w:right w:val="none" w:sz="0" w:space="0" w:color="auto"/>
      </w:divBdr>
      <w:divsChild>
        <w:div w:id="347214376">
          <w:marLeft w:val="0"/>
          <w:marRight w:val="0"/>
          <w:marTop w:val="0"/>
          <w:marBottom w:val="0"/>
          <w:divBdr>
            <w:top w:val="none" w:sz="0" w:space="0" w:color="auto"/>
            <w:left w:val="none" w:sz="0" w:space="0" w:color="auto"/>
            <w:bottom w:val="none" w:sz="0" w:space="0" w:color="auto"/>
            <w:right w:val="none" w:sz="0" w:space="0" w:color="auto"/>
          </w:divBdr>
          <w:divsChild>
            <w:div w:id="1765688635">
              <w:marLeft w:val="0"/>
              <w:marRight w:val="0"/>
              <w:marTop w:val="0"/>
              <w:marBottom w:val="0"/>
              <w:divBdr>
                <w:top w:val="none" w:sz="0" w:space="0" w:color="auto"/>
                <w:left w:val="none" w:sz="0" w:space="0" w:color="auto"/>
                <w:bottom w:val="none" w:sz="0" w:space="0" w:color="auto"/>
                <w:right w:val="none" w:sz="0" w:space="0" w:color="auto"/>
              </w:divBdr>
              <w:divsChild>
                <w:div w:id="1526018154">
                  <w:marLeft w:val="0"/>
                  <w:marRight w:val="0"/>
                  <w:marTop w:val="0"/>
                  <w:marBottom w:val="0"/>
                  <w:divBdr>
                    <w:top w:val="none" w:sz="0" w:space="0" w:color="auto"/>
                    <w:left w:val="none" w:sz="0" w:space="0" w:color="auto"/>
                    <w:bottom w:val="none" w:sz="0" w:space="0" w:color="auto"/>
                    <w:right w:val="none" w:sz="0" w:space="0" w:color="auto"/>
                  </w:divBdr>
                  <w:divsChild>
                    <w:div w:id="142614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418705">
          <w:marLeft w:val="0"/>
          <w:marRight w:val="0"/>
          <w:marTop w:val="0"/>
          <w:marBottom w:val="0"/>
          <w:divBdr>
            <w:top w:val="none" w:sz="0" w:space="0" w:color="auto"/>
            <w:left w:val="none" w:sz="0" w:space="0" w:color="auto"/>
            <w:bottom w:val="none" w:sz="0" w:space="0" w:color="auto"/>
            <w:right w:val="none" w:sz="0" w:space="0" w:color="auto"/>
          </w:divBdr>
          <w:divsChild>
            <w:div w:id="1072851471">
              <w:marLeft w:val="0"/>
              <w:marRight w:val="0"/>
              <w:marTop w:val="0"/>
              <w:marBottom w:val="0"/>
              <w:divBdr>
                <w:top w:val="none" w:sz="0" w:space="0" w:color="auto"/>
                <w:left w:val="none" w:sz="0" w:space="0" w:color="auto"/>
                <w:bottom w:val="none" w:sz="0" w:space="0" w:color="auto"/>
                <w:right w:val="none" w:sz="0" w:space="0" w:color="auto"/>
              </w:divBdr>
              <w:divsChild>
                <w:div w:id="285553232">
                  <w:marLeft w:val="0"/>
                  <w:marRight w:val="0"/>
                  <w:marTop w:val="0"/>
                  <w:marBottom w:val="0"/>
                  <w:divBdr>
                    <w:top w:val="none" w:sz="0" w:space="0" w:color="auto"/>
                    <w:left w:val="none" w:sz="0" w:space="0" w:color="auto"/>
                    <w:bottom w:val="none" w:sz="0" w:space="0" w:color="auto"/>
                    <w:right w:val="none" w:sz="0" w:space="0" w:color="auto"/>
                  </w:divBdr>
                  <w:divsChild>
                    <w:div w:id="331644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653849">
      <w:bodyDiv w:val="1"/>
      <w:marLeft w:val="0"/>
      <w:marRight w:val="0"/>
      <w:marTop w:val="0"/>
      <w:marBottom w:val="0"/>
      <w:divBdr>
        <w:top w:val="none" w:sz="0" w:space="0" w:color="auto"/>
        <w:left w:val="none" w:sz="0" w:space="0" w:color="auto"/>
        <w:bottom w:val="none" w:sz="0" w:space="0" w:color="auto"/>
        <w:right w:val="none" w:sz="0" w:space="0" w:color="auto"/>
      </w:divBdr>
    </w:div>
    <w:div w:id="1699424808">
      <w:bodyDiv w:val="1"/>
      <w:marLeft w:val="0"/>
      <w:marRight w:val="0"/>
      <w:marTop w:val="0"/>
      <w:marBottom w:val="0"/>
      <w:divBdr>
        <w:top w:val="none" w:sz="0" w:space="0" w:color="auto"/>
        <w:left w:val="none" w:sz="0" w:space="0" w:color="auto"/>
        <w:bottom w:val="none" w:sz="0" w:space="0" w:color="auto"/>
        <w:right w:val="none" w:sz="0" w:space="0" w:color="auto"/>
      </w:divBdr>
    </w:div>
    <w:div w:id="1707175307">
      <w:bodyDiv w:val="1"/>
      <w:marLeft w:val="0"/>
      <w:marRight w:val="0"/>
      <w:marTop w:val="0"/>
      <w:marBottom w:val="0"/>
      <w:divBdr>
        <w:top w:val="none" w:sz="0" w:space="0" w:color="auto"/>
        <w:left w:val="none" w:sz="0" w:space="0" w:color="auto"/>
        <w:bottom w:val="none" w:sz="0" w:space="0" w:color="auto"/>
        <w:right w:val="none" w:sz="0" w:space="0" w:color="auto"/>
      </w:divBdr>
    </w:div>
    <w:div w:id="1710492171">
      <w:bodyDiv w:val="1"/>
      <w:marLeft w:val="0"/>
      <w:marRight w:val="0"/>
      <w:marTop w:val="0"/>
      <w:marBottom w:val="0"/>
      <w:divBdr>
        <w:top w:val="none" w:sz="0" w:space="0" w:color="auto"/>
        <w:left w:val="none" w:sz="0" w:space="0" w:color="auto"/>
        <w:bottom w:val="none" w:sz="0" w:space="0" w:color="auto"/>
        <w:right w:val="none" w:sz="0" w:space="0" w:color="auto"/>
      </w:divBdr>
    </w:div>
    <w:div w:id="1711221411">
      <w:bodyDiv w:val="1"/>
      <w:marLeft w:val="0"/>
      <w:marRight w:val="0"/>
      <w:marTop w:val="0"/>
      <w:marBottom w:val="0"/>
      <w:divBdr>
        <w:top w:val="none" w:sz="0" w:space="0" w:color="auto"/>
        <w:left w:val="none" w:sz="0" w:space="0" w:color="auto"/>
        <w:bottom w:val="none" w:sz="0" w:space="0" w:color="auto"/>
        <w:right w:val="none" w:sz="0" w:space="0" w:color="auto"/>
      </w:divBdr>
    </w:div>
    <w:div w:id="1740901335">
      <w:bodyDiv w:val="1"/>
      <w:marLeft w:val="0"/>
      <w:marRight w:val="0"/>
      <w:marTop w:val="0"/>
      <w:marBottom w:val="0"/>
      <w:divBdr>
        <w:top w:val="none" w:sz="0" w:space="0" w:color="auto"/>
        <w:left w:val="none" w:sz="0" w:space="0" w:color="auto"/>
        <w:bottom w:val="none" w:sz="0" w:space="0" w:color="auto"/>
        <w:right w:val="none" w:sz="0" w:space="0" w:color="auto"/>
      </w:divBdr>
    </w:div>
    <w:div w:id="1745105454">
      <w:bodyDiv w:val="1"/>
      <w:marLeft w:val="0"/>
      <w:marRight w:val="0"/>
      <w:marTop w:val="0"/>
      <w:marBottom w:val="0"/>
      <w:divBdr>
        <w:top w:val="none" w:sz="0" w:space="0" w:color="auto"/>
        <w:left w:val="none" w:sz="0" w:space="0" w:color="auto"/>
        <w:bottom w:val="none" w:sz="0" w:space="0" w:color="auto"/>
        <w:right w:val="none" w:sz="0" w:space="0" w:color="auto"/>
      </w:divBdr>
    </w:div>
    <w:div w:id="1751389308">
      <w:bodyDiv w:val="1"/>
      <w:marLeft w:val="0"/>
      <w:marRight w:val="0"/>
      <w:marTop w:val="0"/>
      <w:marBottom w:val="0"/>
      <w:divBdr>
        <w:top w:val="none" w:sz="0" w:space="0" w:color="auto"/>
        <w:left w:val="none" w:sz="0" w:space="0" w:color="auto"/>
        <w:bottom w:val="none" w:sz="0" w:space="0" w:color="auto"/>
        <w:right w:val="none" w:sz="0" w:space="0" w:color="auto"/>
      </w:divBdr>
    </w:div>
    <w:div w:id="1759908088">
      <w:bodyDiv w:val="1"/>
      <w:marLeft w:val="0"/>
      <w:marRight w:val="0"/>
      <w:marTop w:val="0"/>
      <w:marBottom w:val="0"/>
      <w:divBdr>
        <w:top w:val="none" w:sz="0" w:space="0" w:color="auto"/>
        <w:left w:val="none" w:sz="0" w:space="0" w:color="auto"/>
        <w:bottom w:val="none" w:sz="0" w:space="0" w:color="auto"/>
        <w:right w:val="none" w:sz="0" w:space="0" w:color="auto"/>
      </w:divBdr>
    </w:div>
    <w:div w:id="1760787537">
      <w:bodyDiv w:val="1"/>
      <w:marLeft w:val="0"/>
      <w:marRight w:val="0"/>
      <w:marTop w:val="0"/>
      <w:marBottom w:val="0"/>
      <w:divBdr>
        <w:top w:val="none" w:sz="0" w:space="0" w:color="auto"/>
        <w:left w:val="none" w:sz="0" w:space="0" w:color="auto"/>
        <w:bottom w:val="none" w:sz="0" w:space="0" w:color="auto"/>
        <w:right w:val="none" w:sz="0" w:space="0" w:color="auto"/>
      </w:divBdr>
    </w:div>
    <w:div w:id="1770464140">
      <w:bodyDiv w:val="1"/>
      <w:marLeft w:val="0"/>
      <w:marRight w:val="0"/>
      <w:marTop w:val="0"/>
      <w:marBottom w:val="0"/>
      <w:divBdr>
        <w:top w:val="none" w:sz="0" w:space="0" w:color="auto"/>
        <w:left w:val="none" w:sz="0" w:space="0" w:color="auto"/>
        <w:bottom w:val="none" w:sz="0" w:space="0" w:color="auto"/>
        <w:right w:val="none" w:sz="0" w:space="0" w:color="auto"/>
      </w:divBdr>
    </w:div>
    <w:div w:id="1774203260">
      <w:bodyDiv w:val="1"/>
      <w:marLeft w:val="0"/>
      <w:marRight w:val="0"/>
      <w:marTop w:val="0"/>
      <w:marBottom w:val="0"/>
      <w:divBdr>
        <w:top w:val="none" w:sz="0" w:space="0" w:color="auto"/>
        <w:left w:val="none" w:sz="0" w:space="0" w:color="auto"/>
        <w:bottom w:val="none" w:sz="0" w:space="0" w:color="auto"/>
        <w:right w:val="none" w:sz="0" w:space="0" w:color="auto"/>
      </w:divBdr>
    </w:div>
    <w:div w:id="1775393060">
      <w:bodyDiv w:val="1"/>
      <w:marLeft w:val="0"/>
      <w:marRight w:val="0"/>
      <w:marTop w:val="0"/>
      <w:marBottom w:val="0"/>
      <w:divBdr>
        <w:top w:val="none" w:sz="0" w:space="0" w:color="auto"/>
        <w:left w:val="none" w:sz="0" w:space="0" w:color="auto"/>
        <w:bottom w:val="none" w:sz="0" w:space="0" w:color="auto"/>
        <w:right w:val="none" w:sz="0" w:space="0" w:color="auto"/>
      </w:divBdr>
    </w:div>
    <w:div w:id="1797137648">
      <w:bodyDiv w:val="1"/>
      <w:marLeft w:val="0"/>
      <w:marRight w:val="0"/>
      <w:marTop w:val="0"/>
      <w:marBottom w:val="0"/>
      <w:divBdr>
        <w:top w:val="none" w:sz="0" w:space="0" w:color="auto"/>
        <w:left w:val="none" w:sz="0" w:space="0" w:color="auto"/>
        <w:bottom w:val="none" w:sz="0" w:space="0" w:color="auto"/>
        <w:right w:val="none" w:sz="0" w:space="0" w:color="auto"/>
      </w:divBdr>
    </w:div>
    <w:div w:id="1806509896">
      <w:bodyDiv w:val="1"/>
      <w:marLeft w:val="0"/>
      <w:marRight w:val="0"/>
      <w:marTop w:val="0"/>
      <w:marBottom w:val="0"/>
      <w:divBdr>
        <w:top w:val="none" w:sz="0" w:space="0" w:color="auto"/>
        <w:left w:val="none" w:sz="0" w:space="0" w:color="auto"/>
        <w:bottom w:val="none" w:sz="0" w:space="0" w:color="auto"/>
        <w:right w:val="none" w:sz="0" w:space="0" w:color="auto"/>
      </w:divBdr>
    </w:div>
    <w:div w:id="1821732214">
      <w:bodyDiv w:val="1"/>
      <w:marLeft w:val="0"/>
      <w:marRight w:val="0"/>
      <w:marTop w:val="0"/>
      <w:marBottom w:val="0"/>
      <w:divBdr>
        <w:top w:val="none" w:sz="0" w:space="0" w:color="auto"/>
        <w:left w:val="none" w:sz="0" w:space="0" w:color="auto"/>
        <w:bottom w:val="none" w:sz="0" w:space="0" w:color="auto"/>
        <w:right w:val="none" w:sz="0" w:space="0" w:color="auto"/>
      </w:divBdr>
    </w:div>
    <w:div w:id="1862626231">
      <w:bodyDiv w:val="1"/>
      <w:marLeft w:val="0"/>
      <w:marRight w:val="0"/>
      <w:marTop w:val="0"/>
      <w:marBottom w:val="0"/>
      <w:divBdr>
        <w:top w:val="none" w:sz="0" w:space="0" w:color="auto"/>
        <w:left w:val="none" w:sz="0" w:space="0" w:color="auto"/>
        <w:bottom w:val="none" w:sz="0" w:space="0" w:color="auto"/>
        <w:right w:val="none" w:sz="0" w:space="0" w:color="auto"/>
      </w:divBdr>
    </w:div>
    <w:div w:id="1862817822">
      <w:bodyDiv w:val="1"/>
      <w:marLeft w:val="0"/>
      <w:marRight w:val="0"/>
      <w:marTop w:val="0"/>
      <w:marBottom w:val="0"/>
      <w:divBdr>
        <w:top w:val="none" w:sz="0" w:space="0" w:color="auto"/>
        <w:left w:val="none" w:sz="0" w:space="0" w:color="auto"/>
        <w:bottom w:val="none" w:sz="0" w:space="0" w:color="auto"/>
        <w:right w:val="none" w:sz="0" w:space="0" w:color="auto"/>
      </w:divBdr>
    </w:div>
    <w:div w:id="1869028687">
      <w:bodyDiv w:val="1"/>
      <w:marLeft w:val="0"/>
      <w:marRight w:val="0"/>
      <w:marTop w:val="0"/>
      <w:marBottom w:val="0"/>
      <w:divBdr>
        <w:top w:val="none" w:sz="0" w:space="0" w:color="auto"/>
        <w:left w:val="none" w:sz="0" w:space="0" w:color="auto"/>
        <w:bottom w:val="none" w:sz="0" w:space="0" w:color="auto"/>
        <w:right w:val="none" w:sz="0" w:space="0" w:color="auto"/>
      </w:divBdr>
    </w:div>
    <w:div w:id="1870027866">
      <w:bodyDiv w:val="1"/>
      <w:marLeft w:val="0"/>
      <w:marRight w:val="0"/>
      <w:marTop w:val="0"/>
      <w:marBottom w:val="0"/>
      <w:divBdr>
        <w:top w:val="none" w:sz="0" w:space="0" w:color="auto"/>
        <w:left w:val="none" w:sz="0" w:space="0" w:color="auto"/>
        <w:bottom w:val="none" w:sz="0" w:space="0" w:color="auto"/>
        <w:right w:val="none" w:sz="0" w:space="0" w:color="auto"/>
      </w:divBdr>
    </w:div>
    <w:div w:id="1892187479">
      <w:bodyDiv w:val="1"/>
      <w:marLeft w:val="0"/>
      <w:marRight w:val="0"/>
      <w:marTop w:val="0"/>
      <w:marBottom w:val="0"/>
      <w:divBdr>
        <w:top w:val="none" w:sz="0" w:space="0" w:color="auto"/>
        <w:left w:val="none" w:sz="0" w:space="0" w:color="auto"/>
        <w:bottom w:val="none" w:sz="0" w:space="0" w:color="auto"/>
        <w:right w:val="none" w:sz="0" w:space="0" w:color="auto"/>
      </w:divBdr>
    </w:div>
    <w:div w:id="1909993227">
      <w:bodyDiv w:val="1"/>
      <w:marLeft w:val="0"/>
      <w:marRight w:val="0"/>
      <w:marTop w:val="0"/>
      <w:marBottom w:val="0"/>
      <w:divBdr>
        <w:top w:val="none" w:sz="0" w:space="0" w:color="auto"/>
        <w:left w:val="none" w:sz="0" w:space="0" w:color="auto"/>
        <w:bottom w:val="none" w:sz="0" w:space="0" w:color="auto"/>
        <w:right w:val="none" w:sz="0" w:space="0" w:color="auto"/>
      </w:divBdr>
    </w:div>
    <w:div w:id="1911453666">
      <w:bodyDiv w:val="1"/>
      <w:marLeft w:val="0"/>
      <w:marRight w:val="0"/>
      <w:marTop w:val="0"/>
      <w:marBottom w:val="0"/>
      <w:divBdr>
        <w:top w:val="none" w:sz="0" w:space="0" w:color="auto"/>
        <w:left w:val="none" w:sz="0" w:space="0" w:color="auto"/>
        <w:bottom w:val="none" w:sz="0" w:space="0" w:color="auto"/>
        <w:right w:val="none" w:sz="0" w:space="0" w:color="auto"/>
      </w:divBdr>
    </w:div>
    <w:div w:id="1914312840">
      <w:bodyDiv w:val="1"/>
      <w:marLeft w:val="0"/>
      <w:marRight w:val="0"/>
      <w:marTop w:val="0"/>
      <w:marBottom w:val="0"/>
      <w:divBdr>
        <w:top w:val="none" w:sz="0" w:space="0" w:color="auto"/>
        <w:left w:val="none" w:sz="0" w:space="0" w:color="auto"/>
        <w:bottom w:val="none" w:sz="0" w:space="0" w:color="auto"/>
        <w:right w:val="none" w:sz="0" w:space="0" w:color="auto"/>
      </w:divBdr>
      <w:divsChild>
        <w:div w:id="1952011529">
          <w:marLeft w:val="0"/>
          <w:marRight w:val="0"/>
          <w:marTop w:val="0"/>
          <w:marBottom w:val="0"/>
          <w:divBdr>
            <w:top w:val="none" w:sz="0" w:space="0" w:color="auto"/>
            <w:left w:val="none" w:sz="0" w:space="0" w:color="auto"/>
            <w:bottom w:val="none" w:sz="0" w:space="0" w:color="auto"/>
            <w:right w:val="none" w:sz="0" w:space="0" w:color="auto"/>
          </w:divBdr>
          <w:divsChild>
            <w:div w:id="2013869396">
              <w:marLeft w:val="0"/>
              <w:marRight w:val="0"/>
              <w:marTop w:val="0"/>
              <w:marBottom w:val="0"/>
              <w:divBdr>
                <w:top w:val="none" w:sz="0" w:space="0" w:color="auto"/>
                <w:left w:val="none" w:sz="0" w:space="0" w:color="auto"/>
                <w:bottom w:val="none" w:sz="0" w:space="0" w:color="auto"/>
                <w:right w:val="none" w:sz="0" w:space="0" w:color="auto"/>
              </w:divBdr>
              <w:divsChild>
                <w:div w:id="1929653184">
                  <w:marLeft w:val="0"/>
                  <w:marRight w:val="0"/>
                  <w:marTop w:val="0"/>
                  <w:marBottom w:val="0"/>
                  <w:divBdr>
                    <w:top w:val="none" w:sz="0" w:space="0" w:color="auto"/>
                    <w:left w:val="none" w:sz="0" w:space="0" w:color="auto"/>
                    <w:bottom w:val="none" w:sz="0" w:space="0" w:color="auto"/>
                    <w:right w:val="none" w:sz="0" w:space="0" w:color="auto"/>
                  </w:divBdr>
                  <w:divsChild>
                    <w:div w:id="195583326">
                      <w:marLeft w:val="0"/>
                      <w:marRight w:val="0"/>
                      <w:marTop w:val="0"/>
                      <w:marBottom w:val="0"/>
                      <w:divBdr>
                        <w:top w:val="none" w:sz="0" w:space="0" w:color="auto"/>
                        <w:left w:val="none" w:sz="0" w:space="0" w:color="auto"/>
                        <w:bottom w:val="none" w:sz="0" w:space="0" w:color="auto"/>
                        <w:right w:val="none" w:sz="0" w:space="0" w:color="auto"/>
                      </w:divBdr>
                      <w:divsChild>
                        <w:div w:id="325472972">
                          <w:marLeft w:val="0"/>
                          <w:marRight w:val="0"/>
                          <w:marTop w:val="0"/>
                          <w:marBottom w:val="0"/>
                          <w:divBdr>
                            <w:top w:val="none" w:sz="0" w:space="0" w:color="auto"/>
                            <w:left w:val="none" w:sz="0" w:space="0" w:color="auto"/>
                            <w:bottom w:val="none" w:sz="0" w:space="0" w:color="auto"/>
                            <w:right w:val="none" w:sz="0" w:space="0" w:color="auto"/>
                          </w:divBdr>
                          <w:divsChild>
                            <w:div w:id="2130514812">
                              <w:marLeft w:val="0"/>
                              <w:marRight w:val="0"/>
                              <w:marTop w:val="0"/>
                              <w:marBottom w:val="0"/>
                              <w:divBdr>
                                <w:top w:val="none" w:sz="0" w:space="0" w:color="auto"/>
                                <w:left w:val="none" w:sz="0" w:space="0" w:color="auto"/>
                                <w:bottom w:val="none" w:sz="0" w:space="0" w:color="auto"/>
                                <w:right w:val="none" w:sz="0" w:space="0" w:color="auto"/>
                              </w:divBdr>
                              <w:divsChild>
                                <w:div w:id="334304127">
                                  <w:marLeft w:val="0"/>
                                  <w:marRight w:val="0"/>
                                  <w:marTop w:val="0"/>
                                  <w:marBottom w:val="0"/>
                                  <w:divBdr>
                                    <w:top w:val="none" w:sz="0" w:space="0" w:color="auto"/>
                                    <w:left w:val="none" w:sz="0" w:space="0" w:color="auto"/>
                                    <w:bottom w:val="none" w:sz="0" w:space="0" w:color="auto"/>
                                    <w:right w:val="none" w:sz="0" w:space="0" w:color="auto"/>
                                  </w:divBdr>
                                  <w:divsChild>
                                    <w:div w:id="279454993">
                                      <w:marLeft w:val="0"/>
                                      <w:marRight w:val="0"/>
                                      <w:marTop w:val="0"/>
                                      <w:marBottom w:val="0"/>
                                      <w:divBdr>
                                        <w:top w:val="none" w:sz="0" w:space="0" w:color="auto"/>
                                        <w:left w:val="none" w:sz="0" w:space="0" w:color="auto"/>
                                        <w:bottom w:val="none" w:sz="0" w:space="0" w:color="auto"/>
                                        <w:right w:val="none" w:sz="0" w:space="0" w:color="auto"/>
                                      </w:divBdr>
                                      <w:divsChild>
                                        <w:div w:id="1013145804">
                                          <w:marLeft w:val="0"/>
                                          <w:marRight w:val="0"/>
                                          <w:marTop w:val="0"/>
                                          <w:marBottom w:val="0"/>
                                          <w:divBdr>
                                            <w:top w:val="none" w:sz="0" w:space="0" w:color="auto"/>
                                            <w:left w:val="none" w:sz="0" w:space="0" w:color="auto"/>
                                            <w:bottom w:val="none" w:sz="0" w:space="0" w:color="auto"/>
                                            <w:right w:val="none" w:sz="0" w:space="0" w:color="auto"/>
                                          </w:divBdr>
                                          <w:divsChild>
                                            <w:div w:id="1392000317">
                                              <w:marLeft w:val="0"/>
                                              <w:marRight w:val="0"/>
                                              <w:marTop w:val="0"/>
                                              <w:marBottom w:val="0"/>
                                              <w:divBdr>
                                                <w:top w:val="none" w:sz="0" w:space="0" w:color="auto"/>
                                                <w:left w:val="none" w:sz="0" w:space="0" w:color="auto"/>
                                                <w:bottom w:val="none" w:sz="0" w:space="0" w:color="auto"/>
                                                <w:right w:val="none" w:sz="0" w:space="0" w:color="auto"/>
                                              </w:divBdr>
                                              <w:divsChild>
                                                <w:div w:id="1678314425">
                                                  <w:marLeft w:val="0"/>
                                                  <w:marRight w:val="0"/>
                                                  <w:marTop w:val="0"/>
                                                  <w:marBottom w:val="0"/>
                                                  <w:divBdr>
                                                    <w:top w:val="none" w:sz="0" w:space="0" w:color="auto"/>
                                                    <w:left w:val="none" w:sz="0" w:space="0" w:color="auto"/>
                                                    <w:bottom w:val="none" w:sz="0" w:space="0" w:color="auto"/>
                                                    <w:right w:val="none" w:sz="0" w:space="0" w:color="auto"/>
                                                  </w:divBdr>
                                                  <w:divsChild>
                                                    <w:div w:id="2042317785">
                                                      <w:marLeft w:val="0"/>
                                                      <w:marRight w:val="0"/>
                                                      <w:marTop w:val="0"/>
                                                      <w:marBottom w:val="0"/>
                                                      <w:divBdr>
                                                        <w:top w:val="none" w:sz="0" w:space="0" w:color="auto"/>
                                                        <w:left w:val="none" w:sz="0" w:space="0" w:color="auto"/>
                                                        <w:bottom w:val="none" w:sz="0" w:space="0" w:color="auto"/>
                                                        <w:right w:val="none" w:sz="0" w:space="0" w:color="auto"/>
                                                      </w:divBdr>
                                                      <w:divsChild>
                                                        <w:div w:id="82994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715806">
                                              <w:marLeft w:val="0"/>
                                              <w:marRight w:val="0"/>
                                              <w:marTop w:val="0"/>
                                              <w:marBottom w:val="0"/>
                                              <w:divBdr>
                                                <w:top w:val="none" w:sz="0" w:space="0" w:color="auto"/>
                                                <w:left w:val="none" w:sz="0" w:space="0" w:color="auto"/>
                                                <w:bottom w:val="none" w:sz="0" w:space="0" w:color="auto"/>
                                                <w:right w:val="none" w:sz="0" w:space="0" w:color="auto"/>
                                              </w:divBdr>
                                              <w:divsChild>
                                                <w:div w:id="628361815">
                                                  <w:marLeft w:val="0"/>
                                                  <w:marRight w:val="0"/>
                                                  <w:marTop w:val="0"/>
                                                  <w:marBottom w:val="0"/>
                                                  <w:divBdr>
                                                    <w:top w:val="none" w:sz="0" w:space="0" w:color="auto"/>
                                                    <w:left w:val="none" w:sz="0" w:space="0" w:color="auto"/>
                                                    <w:bottom w:val="none" w:sz="0" w:space="0" w:color="auto"/>
                                                    <w:right w:val="none" w:sz="0" w:space="0" w:color="auto"/>
                                                  </w:divBdr>
                                                  <w:divsChild>
                                                    <w:div w:id="883520835">
                                                      <w:marLeft w:val="0"/>
                                                      <w:marRight w:val="0"/>
                                                      <w:marTop w:val="0"/>
                                                      <w:marBottom w:val="0"/>
                                                      <w:divBdr>
                                                        <w:top w:val="none" w:sz="0" w:space="0" w:color="auto"/>
                                                        <w:left w:val="none" w:sz="0" w:space="0" w:color="auto"/>
                                                        <w:bottom w:val="none" w:sz="0" w:space="0" w:color="auto"/>
                                                        <w:right w:val="none" w:sz="0" w:space="0" w:color="auto"/>
                                                      </w:divBdr>
                                                      <w:divsChild>
                                                        <w:div w:id="175651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59625542">
          <w:marLeft w:val="0"/>
          <w:marRight w:val="0"/>
          <w:marTop w:val="0"/>
          <w:marBottom w:val="0"/>
          <w:divBdr>
            <w:top w:val="none" w:sz="0" w:space="0" w:color="auto"/>
            <w:left w:val="none" w:sz="0" w:space="0" w:color="auto"/>
            <w:bottom w:val="none" w:sz="0" w:space="0" w:color="auto"/>
            <w:right w:val="none" w:sz="0" w:space="0" w:color="auto"/>
          </w:divBdr>
          <w:divsChild>
            <w:div w:id="1770926417">
              <w:marLeft w:val="0"/>
              <w:marRight w:val="0"/>
              <w:marTop w:val="0"/>
              <w:marBottom w:val="0"/>
              <w:divBdr>
                <w:top w:val="none" w:sz="0" w:space="0" w:color="auto"/>
                <w:left w:val="none" w:sz="0" w:space="0" w:color="auto"/>
                <w:bottom w:val="none" w:sz="0" w:space="0" w:color="auto"/>
                <w:right w:val="none" w:sz="0" w:space="0" w:color="auto"/>
              </w:divBdr>
              <w:divsChild>
                <w:div w:id="696545203">
                  <w:marLeft w:val="0"/>
                  <w:marRight w:val="0"/>
                  <w:marTop w:val="0"/>
                  <w:marBottom w:val="0"/>
                  <w:divBdr>
                    <w:top w:val="none" w:sz="0" w:space="0" w:color="auto"/>
                    <w:left w:val="none" w:sz="0" w:space="0" w:color="auto"/>
                    <w:bottom w:val="none" w:sz="0" w:space="0" w:color="auto"/>
                    <w:right w:val="none" w:sz="0" w:space="0" w:color="auto"/>
                  </w:divBdr>
                  <w:divsChild>
                    <w:div w:id="1115711389">
                      <w:marLeft w:val="0"/>
                      <w:marRight w:val="0"/>
                      <w:marTop w:val="0"/>
                      <w:marBottom w:val="0"/>
                      <w:divBdr>
                        <w:top w:val="none" w:sz="0" w:space="0" w:color="auto"/>
                        <w:left w:val="none" w:sz="0" w:space="0" w:color="auto"/>
                        <w:bottom w:val="none" w:sz="0" w:space="0" w:color="auto"/>
                        <w:right w:val="none" w:sz="0" w:space="0" w:color="auto"/>
                      </w:divBdr>
                      <w:divsChild>
                        <w:div w:id="604504639">
                          <w:marLeft w:val="0"/>
                          <w:marRight w:val="0"/>
                          <w:marTop w:val="0"/>
                          <w:marBottom w:val="0"/>
                          <w:divBdr>
                            <w:top w:val="none" w:sz="0" w:space="0" w:color="auto"/>
                            <w:left w:val="none" w:sz="0" w:space="0" w:color="auto"/>
                            <w:bottom w:val="none" w:sz="0" w:space="0" w:color="auto"/>
                            <w:right w:val="none" w:sz="0" w:space="0" w:color="auto"/>
                          </w:divBdr>
                          <w:divsChild>
                            <w:div w:id="1427456876">
                              <w:marLeft w:val="0"/>
                              <w:marRight w:val="0"/>
                              <w:marTop w:val="0"/>
                              <w:marBottom w:val="0"/>
                              <w:divBdr>
                                <w:top w:val="none" w:sz="0" w:space="0" w:color="auto"/>
                                <w:left w:val="none" w:sz="0" w:space="0" w:color="auto"/>
                                <w:bottom w:val="none" w:sz="0" w:space="0" w:color="auto"/>
                                <w:right w:val="none" w:sz="0" w:space="0" w:color="auto"/>
                              </w:divBdr>
                              <w:divsChild>
                                <w:div w:id="332340552">
                                  <w:marLeft w:val="0"/>
                                  <w:marRight w:val="0"/>
                                  <w:marTop w:val="0"/>
                                  <w:marBottom w:val="0"/>
                                  <w:divBdr>
                                    <w:top w:val="none" w:sz="0" w:space="0" w:color="auto"/>
                                    <w:left w:val="none" w:sz="0" w:space="0" w:color="auto"/>
                                    <w:bottom w:val="none" w:sz="0" w:space="0" w:color="auto"/>
                                    <w:right w:val="none" w:sz="0" w:space="0" w:color="auto"/>
                                  </w:divBdr>
                                  <w:divsChild>
                                    <w:div w:id="1659653770">
                                      <w:marLeft w:val="0"/>
                                      <w:marRight w:val="0"/>
                                      <w:marTop w:val="0"/>
                                      <w:marBottom w:val="0"/>
                                      <w:divBdr>
                                        <w:top w:val="none" w:sz="0" w:space="0" w:color="auto"/>
                                        <w:left w:val="none" w:sz="0" w:space="0" w:color="auto"/>
                                        <w:bottom w:val="none" w:sz="0" w:space="0" w:color="auto"/>
                                        <w:right w:val="none" w:sz="0" w:space="0" w:color="auto"/>
                                      </w:divBdr>
                                      <w:divsChild>
                                        <w:div w:id="1463504375">
                                          <w:marLeft w:val="0"/>
                                          <w:marRight w:val="0"/>
                                          <w:marTop w:val="0"/>
                                          <w:marBottom w:val="0"/>
                                          <w:divBdr>
                                            <w:top w:val="none" w:sz="0" w:space="0" w:color="auto"/>
                                            <w:left w:val="none" w:sz="0" w:space="0" w:color="auto"/>
                                            <w:bottom w:val="none" w:sz="0" w:space="0" w:color="auto"/>
                                            <w:right w:val="none" w:sz="0" w:space="0" w:color="auto"/>
                                          </w:divBdr>
                                          <w:divsChild>
                                            <w:div w:id="2115903168">
                                              <w:marLeft w:val="0"/>
                                              <w:marRight w:val="0"/>
                                              <w:marTop w:val="0"/>
                                              <w:marBottom w:val="0"/>
                                              <w:divBdr>
                                                <w:top w:val="none" w:sz="0" w:space="0" w:color="auto"/>
                                                <w:left w:val="none" w:sz="0" w:space="0" w:color="auto"/>
                                                <w:bottom w:val="none" w:sz="0" w:space="0" w:color="auto"/>
                                                <w:right w:val="none" w:sz="0" w:space="0" w:color="auto"/>
                                              </w:divBdr>
                                              <w:divsChild>
                                                <w:div w:id="404912844">
                                                  <w:marLeft w:val="0"/>
                                                  <w:marRight w:val="0"/>
                                                  <w:marTop w:val="0"/>
                                                  <w:marBottom w:val="0"/>
                                                  <w:divBdr>
                                                    <w:top w:val="none" w:sz="0" w:space="0" w:color="auto"/>
                                                    <w:left w:val="none" w:sz="0" w:space="0" w:color="auto"/>
                                                    <w:bottom w:val="none" w:sz="0" w:space="0" w:color="auto"/>
                                                    <w:right w:val="none" w:sz="0" w:space="0" w:color="auto"/>
                                                  </w:divBdr>
                                                  <w:divsChild>
                                                    <w:div w:id="534660925">
                                                      <w:marLeft w:val="0"/>
                                                      <w:marRight w:val="0"/>
                                                      <w:marTop w:val="0"/>
                                                      <w:marBottom w:val="0"/>
                                                      <w:divBdr>
                                                        <w:top w:val="none" w:sz="0" w:space="0" w:color="auto"/>
                                                        <w:left w:val="none" w:sz="0" w:space="0" w:color="auto"/>
                                                        <w:bottom w:val="none" w:sz="0" w:space="0" w:color="auto"/>
                                                        <w:right w:val="none" w:sz="0" w:space="0" w:color="auto"/>
                                                      </w:divBdr>
                                                      <w:divsChild>
                                                        <w:div w:id="155701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618788">
                                              <w:marLeft w:val="0"/>
                                              <w:marRight w:val="0"/>
                                              <w:marTop w:val="0"/>
                                              <w:marBottom w:val="0"/>
                                              <w:divBdr>
                                                <w:top w:val="none" w:sz="0" w:space="0" w:color="auto"/>
                                                <w:left w:val="none" w:sz="0" w:space="0" w:color="auto"/>
                                                <w:bottom w:val="none" w:sz="0" w:space="0" w:color="auto"/>
                                                <w:right w:val="none" w:sz="0" w:space="0" w:color="auto"/>
                                              </w:divBdr>
                                            </w:div>
                                          </w:divsChild>
                                        </w:div>
                                        <w:div w:id="865562564">
                                          <w:marLeft w:val="0"/>
                                          <w:marRight w:val="0"/>
                                          <w:marTop w:val="0"/>
                                          <w:marBottom w:val="0"/>
                                          <w:divBdr>
                                            <w:top w:val="none" w:sz="0" w:space="0" w:color="auto"/>
                                            <w:left w:val="none" w:sz="0" w:space="0" w:color="auto"/>
                                            <w:bottom w:val="none" w:sz="0" w:space="0" w:color="auto"/>
                                            <w:right w:val="none" w:sz="0" w:space="0" w:color="auto"/>
                                          </w:divBdr>
                                          <w:divsChild>
                                            <w:div w:id="254946772">
                                              <w:marLeft w:val="0"/>
                                              <w:marRight w:val="0"/>
                                              <w:marTop w:val="0"/>
                                              <w:marBottom w:val="0"/>
                                              <w:divBdr>
                                                <w:top w:val="none" w:sz="0" w:space="0" w:color="auto"/>
                                                <w:left w:val="none" w:sz="0" w:space="0" w:color="auto"/>
                                                <w:bottom w:val="none" w:sz="0" w:space="0" w:color="auto"/>
                                                <w:right w:val="none" w:sz="0" w:space="0" w:color="auto"/>
                                              </w:divBdr>
                                              <w:divsChild>
                                                <w:div w:id="632835151">
                                                  <w:marLeft w:val="0"/>
                                                  <w:marRight w:val="0"/>
                                                  <w:marTop w:val="0"/>
                                                  <w:marBottom w:val="0"/>
                                                  <w:divBdr>
                                                    <w:top w:val="none" w:sz="0" w:space="0" w:color="auto"/>
                                                    <w:left w:val="none" w:sz="0" w:space="0" w:color="auto"/>
                                                    <w:bottom w:val="none" w:sz="0" w:space="0" w:color="auto"/>
                                                    <w:right w:val="none" w:sz="0" w:space="0" w:color="auto"/>
                                                  </w:divBdr>
                                                  <w:divsChild>
                                                    <w:div w:id="1257639394">
                                                      <w:marLeft w:val="0"/>
                                                      <w:marRight w:val="0"/>
                                                      <w:marTop w:val="0"/>
                                                      <w:marBottom w:val="0"/>
                                                      <w:divBdr>
                                                        <w:top w:val="none" w:sz="0" w:space="0" w:color="auto"/>
                                                        <w:left w:val="none" w:sz="0" w:space="0" w:color="auto"/>
                                                        <w:bottom w:val="none" w:sz="0" w:space="0" w:color="auto"/>
                                                        <w:right w:val="none" w:sz="0" w:space="0" w:color="auto"/>
                                                      </w:divBdr>
                                                      <w:divsChild>
                                                        <w:div w:id="15646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9205211">
                  <w:marLeft w:val="0"/>
                  <w:marRight w:val="0"/>
                  <w:marTop w:val="0"/>
                  <w:marBottom w:val="0"/>
                  <w:divBdr>
                    <w:top w:val="none" w:sz="0" w:space="0" w:color="auto"/>
                    <w:left w:val="none" w:sz="0" w:space="0" w:color="auto"/>
                    <w:bottom w:val="none" w:sz="0" w:space="0" w:color="auto"/>
                    <w:right w:val="none" w:sz="0" w:space="0" w:color="auto"/>
                  </w:divBdr>
                  <w:divsChild>
                    <w:div w:id="716203885">
                      <w:marLeft w:val="0"/>
                      <w:marRight w:val="0"/>
                      <w:marTop w:val="0"/>
                      <w:marBottom w:val="0"/>
                      <w:divBdr>
                        <w:top w:val="none" w:sz="0" w:space="0" w:color="auto"/>
                        <w:left w:val="none" w:sz="0" w:space="0" w:color="auto"/>
                        <w:bottom w:val="none" w:sz="0" w:space="0" w:color="auto"/>
                        <w:right w:val="none" w:sz="0" w:space="0" w:color="auto"/>
                      </w:divBdr>
                      <w:divsChild>
                        <w:div w:id="127390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8977893">
      <w:bodyDiv w:val="1"/>
      <w:marLeft w:val="0"/>
      <w:marRight w:val="0"/>
      <w:marTop w:val="0"/>
      <w:marBottom w:val="0"/>
      <w:divBdr>
        <w:top w:val="none" w:sz="0" w:space="0" w:color="auto"/>
        <w:left w:val="none" w:sz="0" w:space="0" w:color="auto"/>
        <w:bottom w:val="none" w:sz="0" w:space="0" w:color="auto"/>
        <w:right w:val="none" w:sz="0" w:space="0" w:color="auto"/>
      </w:divBdr>
    </w:div>
    <w:div w:id="1944605153">
      <w:bodyDiv w:val="1"/>
      <w:marLeft w:val="0"/>
      <w:marRight w:val="0"/>
      <w:marTop w:val="0"/>
      <w:marBottom w:val="0"/>
      <w:divBdr>
        <w:top w:val="none" w:sz="0" w:space="0" w:color="auto"/>
        <w:left w:val="none" w:sz="0" w:space="0" w:color="auto"/>
        <w:bottom w:val="none" w:sz="0" w:space="0" w:color="auto"/>
        <w:right w:val="none" w:sz="0" w:space="0" w:color="auto"/>
      </w:divBdr>
    </w:div>
    <w:div w:id="1960261794">
      <w:bodyDiv w:val="1"/>
      <w:marLeft w:val="0"/>
      <w:marRight w:val="0"/>
      <w:marTop w:val="0"/>
      <w:marBottom w:val="0"/>
      <w:divBdr>
        <w:top w:val="none" w:sz="0" w:space="0" w:color="auto"/>
        <w:left w:val="none" w:sz="0" w:space="0" w:color="auto"/>
        <w:bottom w:val="none" w:sz="0" w:space="0" w:color="auto"/>
        <w:right w:val="none" w:sz="0" w:space="0" w:color="auto"/>
      </w:divBdr>
    </w:div>
    <w:div w:id="1962150742">
      <w:bodyDiv w:val="1"/>
      <w:marLeft w:val="0"/>
      <w:marRight w:val="0"/>
      <w:marTop w:val="0"/>
      <w:marBottom w:val="0"/>
      <w:divBdr>
        <w:top w:val="none" w:sz="0" w:space="0" w:color="auto"/>
        <w:left w:val="none" w:sz="0" w:space="0" w:color="auto"/>
        <w:bottom w:val="none" w:sz="0" w:space="0" w:color="auto"/>
        <w:right w:val="none" w:sz="0" w:space="0" w:color="auto"/>
      </w:divBdr>
    </w:div>
    <w:div w:id="1973054273">
      <w:bodyDiv w:val="1"/>
      <w:marLeft w:val="0"/>
      <w:marRight w:val="0"/>
      <w:marTop w:val="0"/>
      <w:marBottom w:val="0"/>
      <w:divBdr>
        <w:top w:val="none" w:sz="0" w:space="0" w:color="auto"/>
        <w:left w:val="none" w:sz="0" w:space="0" w:color="auto"/>
        <w:bottom w:val="none" w:sz="0" w:space="0" w:color="auto"/>
        <w:right w:val="none" w:sz="0" w:space="0" w:color="auto"/>
      </w:divBdr>
    </w:div>
    <w:div w:id="1992056865">
      <w:bodyDiv w:val="1"/>
      <w:marLeft w:val="0"/>
      <w:marRight w:val="0"/>
      <w:marTop w:val="0"/>
      <w:marBottom w:val="0"/>
      <w:divBdr>
        <w:top w:val="none" w:sz="0" w:space="0" w:color="auto"/>
        <w:left w:val="none" w:sz="0" w:space="0" w:color="auto"/>
        <w:bottom w:val="none" w:sz="0" w:space="0" w:color="auto"/>
        <w:right w:val="none" w:sz="0" w:space="0" w:color="auto"/>
      </w:divBdr>
    </w:div>
    <w:div w:id="1994554534">
      <w:bodyDiv w:val="1"/>
      <w:marLeft w:val="0"/>
      <w:marRight w:val="0"/>
      <w:marTop w:val="0"/>
      <w:marBottom w:val="0"/>
      <w:divBdr>
        <w:top w:val="none" w:sz="0" w:space="0" w:color="auto"/>
        <w:left w:val="none" w:sz="0" w:space="0" w:color="auto"/>
        <w:bottom w:val="none" w:sz="0" w:space="0" w:color="auto"/>
        <w:right w:val="none" w:sz="0" w:space="0" w:color="auto"/>
      </w:divBdr>
      <w:divsChild>
        <w:div w:id="1858352435">
          <w:marLeft w:val="0"/>
          <w:marRight w:val="0"/>
          <w:marTop w:val="0"/>
          <w:marBottom w:val="0"/>
          <w:divBdr>
            <w:top w:val="none" w:sz="0" w:space="0" w:color="auto"/>
            <w:left w:val="none" w:sz="0" w:space="0" w:color="auto"/>
            <w:bottom w:val="none" w:sz="0" w:space="0" w:color="auto"/>
            <w:right w:val="none" w:sz="0" w:space="0" w:color="auto"/>
          </w:divBdr>
          <w:divsChild>
            <w:div w:id="1931815888">
              <w:marLeft w:val="0"/>
              <w:marRight w:val="0"/>
              <w:marTop w:val="0"/>
              <w:marBottom w:val="0"/>
              <w:divBdr>
                <w:top w:val="none" w:sz="0" w:space="0" w:color="auto"/>
                <w:left w:val="none" w:sz="0" w:space="0" w:color="auto"/>
                <w:bottom w:val="none" w:sz="0" w:space="0" w:color="auto"/>
                <w:right w:val="none" w:sz="0" w:space="0" w:color="auto"/>
              </w:divBdr>
              <w:divsChild>
                <w:div w:id="754472959">
                  <w:marLeft w:val="0"/>
                  <w:marRight w:val="0"/>
                  <w:marTop w:val="0"/>
                  <w:marBottom w:val="0"/>
                  <w:divBdr>
                    <w:top w:val="none" w:sz="0" w:space="0" w:color="auto"/>
                    <w:left w:val="none" w:sz="0" w:space="0" w:color="auto"/>
                    <w:bottom w:val="none" w:sz="0" w:space="0" w:color="auto"/>
                    <w:right w:val="none" w:sz="0" w:space="0" w:color="auto"/>
                  </w:divBdr>
                  <w:divsChild>
                    <w:div w:id="119492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368986">
          <w:marLeft w:val="0"/>
          <w:marRight w:val="0"/>
          <w:marTop w:val="0"/>
          <w:marBottom w:val="0"/>
          <w:divBdr>
            <w:top w:val="none" w:sz="0" w:space="0" w:color="auto"/>
            <w:left w:val="none" w:sz="0" w:space="0" w:color="auto"/>
            <w:bottom w:val="none" w:sz="0" w:space="0" w:color="auto"/>
            <w:right w:val="none" w:sz="0" w:space="0" w:color="auto"/>
          </w:divBdr>
          <w:divsChild>
            <w:div w:id="1408072400">
              <w:marLeft w:val="0"/>
              <w:marRight w:val="0"/>
              <w:marTop w:val="0"/>
              <w:marBottom w:val="0"/>
              <w:divBdr>
                <w:top w:val="none" w:sz="0" w:space="0" w:color="auto"/>
                <w:left w:val="none" w:sz="0" w:space="0" w:color="auto"/>
                <w:bottom w:val="none" w:sz="0" w:space="0" w:color="auto"/>
                <w:right w:val="none" w:sz="0" w:space="0" w:color="auto"/>
              </w:divBdr>
              <w:divsChild>
                <w:div w:id="1622422484">
                  <w:marLeft w:val="0"/>
                  <w:marRight w:val="0"/>
                  <w:marTop w:val="0"/>
                  <w:marBottom w:val="0"/>
                  <w:divBdr>
                    <w:top w:val="none" w:sz="0" w:space="0" w:color="auto"/>
                    <w:left w:val="none" w:sz="0" w:space="0" w:color="auto"/>
                    <w:bottom w:val="none" w:sz="0" w:space="0" w:color="auto"/>
                    <w:right w:val="none" w:sz="0" w:space="0" w:color="auto"/>
                  </w:divBdr>
                  <w:divsChild>
                    <w:div w:id="183791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009284">
      <w:bodyDiv w:val="1"/>
      <w:marLeft w:val="0"/>
      <w:marRight w:val="0"/>
      <w:marTop w:val="0"/>
      <w:marBottom w:val="0"/>
      <w:divBdr>
        <w:top w:val="none" w:sz="0" w:space="0" w:color="auto"/>
        <w:left w:val="none" w:sz="0" w:space="0" w:color="auto"/>
        <w:bottom w:val="none" w:sz="0" w:space="0" w:color="auto"/>
        <w:right w:val="none" w:sz="0" w:space="0" w:color="auto"/>
      </w:divBdr>
    </w:div>
    <w:div w:id="2007249488">
      <w:bodyDiv w:val="1"/>
      <w:marLeft w:val="0"/>
      <w:marRight w:val="0"/>
      <w:marTop w:val="0"/>
      <w:marBottom w:val="0"/>
      <w:divBdr>
        <w:top w:val="none" w:sz="0" w:space="0" w:color="auto"/>
        <w:left w:val="none" w:sz="0" w:space="0" w:color="auto"/>
        <w:bottom w:val="none" w:sz="0" w:space="0" w:color="auto"/>
        <w:right w:val="none" w:sz="0" w:space="0" w:color="auto"/>
      </w:divBdr>
    </w:div>
    <w:div w:id="2014989301">
      <w:bodyDiv w:val="1"/>
      <w:marLeft w:val="0"/>
      <w:marRight w:val="0"/>
      <w:marTop w:val="0"/>
      <w:marBottom w:val="0"/>
      <w:divBdr>
        <w:top w:val="none" w:sz="0" w:space="0" w:color="auto"/>
        <w:left w:val="none" w:sz="0" w:space="0" w:color="auto"/>
        <w:bottom w:val="none" w:sz="0" w:space="0" w:color="auto"/>
        <w:right w:val="none" w:sz="0" w:space="0" w:color="auto"/>
      </w:divBdr>
    </w:div>
    <w:div w:id="2016035664">
      <w:bodyDiv w:val="1"/>
      <w:marLeft w:val="0"/>
      <w:marRight w:val="0"/>
      <w:marTop w:val="0"/>
      <w:marBottom w:val="0"/>
      <w:divBdr>
        <w:top w:val="none" w:sz="0" w:space="0" w:color="auto"/>
        <w:left w:val="none" w:sz="0" w:space="0" w:color="auto"/>
        <w:bottom w:val="none" w:sz="0" w:space="0" w:color="auto"/>
        <w:right w:val="none" w:sz="0" w:space="0" w:color="auto"/>
      </w:divBdr>
    </w:div>
    <w:div w:id="2018994480">
      <w:bodyDiv w:val="1"/>
      <w:marLeft w:val="0"/>
      <w:marRight w:val="0"/>
      <w:marTop w:val="0"/>
      <w:marBottom w:val="0"/>
      <w:divBdr>
        <w:top w:val="none" w:sz="0" w:space="0" w:color="auto"/>
        <w:left w:val="none" w:sz="0" w:space="0" w:color="auto"/>
        <w:bottom w:val="none" w:sz="0" w:space="0" w:color="auto"/>
        <w:right w:val="none" w:sz="0" w:space="0" w:color="auto"/>
      </w:divBdr>
    </w:div>
    <w:div w:id="2020767937">
      <w:bodyDiv w:val="1"/>
      <w:marLeft w:val="0"/>
      <w:marRight w:val="0"/>
      <w:marTop w:val="0"/>
      <w:marBottom w:val="0"/>
      <w:divBdr>
        <w:top w:val="none" w:sz="0" w:space="0" w:color="auto"/>
        <w:left w:val="none" w:sz="0" w:space="0" w:color="auto"/>
        <w:bottom w:val="none" w:sz="0" w:space="0" w:color="auto"/>
        <w:right w:val="none" w:sz="0" w:space="0" w:color="auto"/>
      </w:divBdr>
    </w:div>
    <w:div w:id="2041975233">
      <w:bodyDiv w:val="1"/>
      <w:marLeft w:val="0"/>
      <w:marRight w:val="0"/>
      <w:marTop w:val="0"/>
      <w:marBottom w:val="0"/>
      <w:divBdr>
        <w:top w:val="none" w:sz="0" w:space="0" w:color="auto"/>
        <w:left w:val="none" w:sz="0" w:space="0" w:color="auto"/>
        <w:bottom w:val="none" w:sz="0" w:space="0" w:color="auto"/>
        <w:right w:val="none" w:sz="0" w:space="0" w:color="auto"/>
      </w:divBdr>
      <w:divsChild>
        <w:div w:id="1333683610">
          <w:marLeft w:val="0"/>
          <w:marRight w:val="0"/>
          <w:marTop w:val="0"/>
          <w:marBottom w:val="0"/>
          <w:divBdr>
            <w:top w:val="none" w:sz="0" w:space="0" w:color="auto"/>
            <w:left w:val="none" w:sz="0" w:space="0" w:color="auto"/>
            <w:bottom w:val="none" w:sz="0" w:space="0" w:color="auto"/>
            <w:right w:val="none" w:sz="0" w:space="0" w:color="auto"/>
          </w:divBdr>
          <w:divsChild>
            <w:div w:id="146169704">
              <w:marLeft w:val="0"/>
              <w:marRight w:val="0"/>
              <w:marTop w:val="0"/>
              <w:marBottom w:val="0"/>
              <w:divBdr>
                <w:top w:val="none" w:sz="0" w:space="0" w:color="auto"/>
                <w:left w:val="none" w:sz="0" w:space="0" w:color="auto"/>
                <w:bottom w:val="none" w:sz="0" w:space="0" w:color="auto"/>
                <w:right w:val="none" w:sz="0" w:space="0" w:color="auto"/>
              </w:divBdr>
              <w:divsChild>
                <w:div w:id="1176387225">
                  <w:marLeft w:val="0"/>
                  <w:marRight w:val="0"/>
                  <w:marTop w:val="0"/>
                  <w:marBottom w:val="0"/>
                  <w:divBdr>
                    <w:top w:val="none" w:sz="0" w:space="0" w:color="auto"/>
                    <w:left w:val="none" w:sz="0" w:space="0" w:color="auto"/>
                    <w:bottom w:val="none" w:sz="0" w:space="0" w:color="auto"/>
                    <w:right w:val="none" w:sz="0" w:space="0" w:color="auto"/>
                  </w:divBdr>
                  <w:divsChild>
                    <w:div w:id="1356617022">
                      <w:marLeft w:val="0"/>
                      <w:marRight w:val="0"/>
                      <w:marTop w:val="0"/>
                      <w:marBottom w:val="0"/>
                      <w:divBdr>
                        <w:top w:val="none" w:sz="0" w:space="0" w:color="auto"/>
                        <w:left w:val="none" w:sz="0" w:space="0" w:color="auto"/>
                        <w:bottom w:val="none" w:sz="0" w:space="0" w:color="auto"/>
                        <w:right w:val="none" w:sz="0" w:space="0" w:color="auto"/>
                      </w:divBdr>
                      <w:divsChild>
                        <w:div w:id="512451716">
                          <w:marLeft w:val="0"/>
                          <w:marRight w:val="0"/>
                          <w:marTop w:val="0"/>
                          <w:marBottom w:val="0"/>
                          <w:divBdr>
                            <w:top w:val="none" w:sz="0" w:space="0" w:color="auto"/>
                            <w:left w:val="none" w:sz="0" w:space="0" w:color="auto"/>
                            <w:bottom w:val="none" w:sz="0" w:space="0" w:color="auto"/>
                            <w:right w:val="none" w:sz="0" w:space="0" w:color="auto"/>
                          </w:divBdr>
                          <w:divsChild>
                            <w:div w:id="292907103">
                              <w:marLeft w:val="0"/>
                              <w:marRight w:val="0"/>
                              <w:marTop w:val="0"/>
                              <w:marBottom w:val="0"/>
                              <w:divBdr>
                                <w:top w:val="none" w:sz="0" w:space="0" w:color="auto"/>
                                <w:left w:val="none" w:sz="0" w:space="0" w:color="auto"/>
                                <w:bottom w:val="none" w:sz="0" w:space="0" w:color="auto"/>
                                <w:right w:val="none" w:sz="0" w:space="0" w:color="auto"/>
                              </w:divBdr>
                              <w:divsChild>
                                <w:div w:id="2041659670">
                                  <w:marLeft w:val="0"/>
                                  <w:marRight w:val="0"/>
                                  <w:marTop w:val="0"/>
                                  <w:marBottom w:val="0"/>
                                  <w:divBdr>
                                    <w:top w:val="none" w:sz="0" w:space="0" w:color="auto"/>
                                    <w:left w:val="none" w:sz="0" w:space="0" w:color="auto"/>
                                    <w:bottom w:val="none" w:sz="0" w:space="0" w:color="auto"/>
                                    <w:right w:val="none" w:sz="0" w:space="0" w:color="auto"/>
                                  </w:divBdr>
                                  <w:divsChild>
                                    <w:div w:id="541594608">
                                      <w:marLeft w:val="0"/>
                                      <w:marRight w:val="0"/>
                                      <w:marTop w:val="0"/>
                                      <w:marBottom w:val="0"/>
                                      <w:divBdr>
                                        <w:top w:val="none" w:sz="0" w:space="0" w:color="auto"/>
                                        <w:left w:val="none" w:sz="0" w:space="0" w:color="auto"/>
                                        <w:bottom w:val="none" w:sz="0" w:space="0" w:color="auto"/>
                                        <w:right w:val="none" w:sz="0" w:space="0" w:color="auto"/>
                                      </w:divBdr>
                                      <w:divsChild>
                                        <w:div w:id="1360080593">
                                          <w:marLeft w:val="0"/>
                                          <w:marRight w:val="0"/>
                                          <w:marTop w:val="0"/>
                                          <w:marBottom w:val="0"/>
                                          <w:divBdr>
                                            <w:top w:val="none" w:sz="0" w:space="0" w:color="auto"/>
                                            <w:left w:val="none" w:sz="0" w:space="0" w:color="auto"/>
                                            <w:bottom w:val="none" w:sz="0" w:space="0" w:color="auto"/>
                                            <w:right w:val="none" w:sz="0" w:space="0" w:color="auto"/>
                                          </w:divBdr>
                                          <w:divsChild>
                                            <w:div w:id="549073615">
                                              <w:marLeft w:val="0"/>
                                              <w:marRight w:val="0"/>
                                              <w:marTop w:val="0"/>
                                              <w:marBottom w:val="0"/>
                                              <w:divBdr>
                                                <w:top w:val="none" w:sz="0" w:space="0" w:color="auto"/>
                                                <w:left w:val="none" w:sz="0" w:space="0" w:color="auto"/>
                                                <w:bottom w:val="none" w:sz="0" w:space="0" w:color="auto"/>
                                                <w:right w:val="none" w:sz="0" w:space="0" w:color="auto"/>
                                              </w:divBdr>
                                              <w:divsChild>
                                                <w:div w:id="344476358">
                                                  <w:marLeft w:val="0"/>
                                                  <w:marRight w:val="0"/>
                                                  <w:marTop w:val="0"/>
                                                  <w:marBottom w:val="0"/>
                                                  <w:divBdr>
                                                    <w:top w:val="none" w:sz="0" w:space="0" w:color="auto"/>
                                                    <w:left w:val="none" w:sz="0" w:space="0" w:color="auto"/>
                                                    <w:bottom w:val="none" w:sz="0" w:space="0" w:color="auto"/>
                                                    <w:right w:val="none" w:sz="0" w:space="0" w:color="auto"/>
                                                  </w:divBdr>
                                                  <w:divsChild>
                                                    <w:div w:id="343167206">
                                                      <w:marLeft w:val="0"/>
                                                      <w:marRight w:val="0"/>
                                                      <w:marTop w:val="0"/>
                                                      <w:marBottom w:val="0"/>
                                                      <w:divBdr>
                                                        <w:top w:val="none" w:sz="0" w:space="0" w:color="auto"/>
                                                        <w:left w:val="none" w:sz="0" w:space="0" w:color="auto"/>
                                                        <w:bottom w:val="none" w:sz="0" w:space="0" w:color="auto"/>
                                                        <w:right w:val="none" w:sz="0" w:space="0" w:color="auto"/>
                                                      </w:divBdr>
                                                      <w:divsChild>
                                                        <w:div w:id="30520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44744398">
      <w:bodyDiv w:val="1"/>
      <w:marLeft w:val="0"/>
      <w:marRight w:val="0"/>
      <w:marTop w:val="0"/>
      <w:marBottom w:val="0"/>
      <w:divBdr>
        <w:top w:val="none" w:sz="0" w:space="0" w:color="auto"/>
        <w:left w:val="none" w:sz="0" w:space="0" w:color="auto"/>
        <w:bottom w:val="none" w:sz="0" w:space="0" w:color="auto"/>
        <w:right w:val="none" w:sz="0" w:space="0" w:color="auto"/>
      </w:divBdr>
      <w:divsChild>
        <w:div w:id="1858470849">
          <w:marLeft w:val="0"/>
          <w:marRight w:val="0"/>
          <w:marTop w:val="0"/>
          <w:marBottom w:val="0"/>
          <w:divBdr>
            <w:top w:val="none" w:sz="0" w:space="0" w:color="auto"/>
            <w:left w:val="none" w:sz="0" w:space="0" w:color="auto"/>
            <w:bottom w:val="none" w:sz="0" w:space="0" w:color="auto"/>
            <w:right w:val="none" w:sz="0" w:space="0" w:color="auto"/>
          </w:divBdr>
        </w:div>
      </w:divsChild>
    </w:div>
    <w:div w:id="2074809347">
      <w:bodyDiv w:val="1"/>
      <w:marLeft w:val="0"/>
      <w:marRight w:val="0"/>
      <w:marTop w:val="0"/>
      <w:marBottom w:val="0"/>
      <w:divBdr>
        <w:top w:val="none" w:sz="0" w:space="0" w:color="auto"/>
        <w:left w:val="none" w:sz="0" w:space="0" w:color="auto"/>
        <w:bottom w:val="none" w:sz="0" w:space="0" w:color="auto"/>
        <w:right w:val="none" w:sz="0" w:space="0" w:color="auto"/>
      </w:divBdr>
    </w:div>
    <w:div w:id="2082025753">
      <w:bodyDiv w:val="1"/>
      <w:marLeft w:val="0"/>
      <w:marRight w:val="0"/>
      <w:marTop w:val="0"/>
      <w:marBottom w:val="0"/>
      <w:divBdr>
        <w:top w:val="none" w:sz="0" w:space="0" w:color="auto"/>
        <w:left w:val="none" w:sz="0" w:space="0" w:color="auto"/>
        <w:bottom w:val="none" w:sz="0" w:space="0" w:color="auto"/>
        <w:right w:val="none" w:sz="0" w:space="0" w:color="auto"/>
      </w:divBdr>
    </w:div>
    <w:div w:id="2095543279">
      <w:bodyDiv w:val="1"/>
      <w:marLeft w:val="0"/>
      <w:marRight w:val="0"/>
      <w:marTop w:val="0"/>
      <w:marBottom w:val="0"/>
      <w:divBdr>
        <w:top w:val="none" w:sz="0" w:space="0" w:color="auto"/>
        <w:left w:val="none" w:sz="0" w:space="0" w:color="auto"/>
        <w:bottom w:val="none" w:sz="0" w:space="0" w:color="auto"/>
        <w:right w:val="none" w:sz="0" w:space="0" w:color="auto"/>
      </w:divBdr>
    </w:div>
    <w:div w:id="2120248564">
      <w:bodyDiv w:val="1"/>
      <w:marLeft w:val="0"/>
      <w:marRight w:val="0"/>
      <w:marTop w:val="0"/>
      <w:marBottom w:val="0"/>
      <w:divBdr>
        <w:top w:val="none" w:sz="0" w:space="0" w:color="auto"/>
        <w:left w:val="none" w:sz="0" w:space="0" w:color="auto"/>
        <w:bottom w:val="none" w:sz="0" w:space="0" w:color="auto"/>
        <w:right w:val="none" w:sz="0" w:space="0" w:color="auto"/>
      </w:divBdr>
      <w:divsChild>
        <w:div w:id="819462272">
          <w:marLeft w:val="360"/>
          <w:marRight w:val="0"/>
          <w:marTop w:val="200"/>
          <w:marBottom w:val="0"/>
          <w:divBdr>
            <w:top w:val="none" w:sz="0" w:space="0" w:color="auto"/>
            <w:left w:val="none" w:sz="0" w:space="0" w:color="auto"/>
            <w:bottom w:val="none" w:sz="0" w:space="0" w:color="auto"/>
            <w:right w:val="none" w:sz="0" w:space="0" w:color="auto"/>
          </w:divBdr>
        </w:div>
        <w:div w:id="1654328934">
          <w:marLeft w:val="360"/>
          <w:marRight w:val="0"/>
          <w:marTop w:val="200"/>
          <w:marBottom w:val="0"/>
          <w:divBdr>
            <w:top w:val="none" w:sz="0" w:space="0" w:color="auto"/>
            <w:left w:val="none" w:sz="0" w:space="0" w:color="auto"/>
            <w:bottom w:val="none" w:sz="0" w:space="0" w:color="auto"/>
            <w:right w:val="none" w:sz="0" w:space="0" w:color="auto"/>
          </w:divBdr>
        </w:div>
        <w:div w:id="1146238041">
          <w:marLeft w:val="360"/>
          <w:marRight w:val="0"/>
          <w:marTop w:val="200"/>
          <w:marBottom w:val="0"/>
          <w:divBdr>
            <w:top w:val="none" w:sz="0" w:space="0" w:color="auto"/>
            <w:left w:val="none" w:sz="0" w:space="0" w:color="auto"/>
            <w:bottom w:val="none" w:sz="0" w:space="0" w:color="auto"/>
            <w:right w:val="none" w:sz="0" w:space="0" w:color="auto"/>
          </w:divBdr>
        </w:div>
        <w:div w:id="2048485049">
          <w:marLeft w:val="360"/>
          <w:marRight w:val="0"/>
          <w:marTop w:val="200"/>
          <w:marBottom w:val="0"/>
          <w:divBdr>
            <w:top w:val="none" w:sz="0" w:space="0" w:color="auto"/>
            <w:left w:val="none" w:sz="0" w:space="0" w:color="auto"/>
            <w:bottom w:val="none" w:sz="0" w:space="0" w:color="auto"/>
            <w:right w:val="none" w:sz="0" w:space="0" w:color="auto"/>
          </w:divBdr>
        </w:div>
        <w:div w:id="2027977590">
          <w:marLeft w:val="360"/>
          <w:marRight w:val="0"/>
          <w:marTop w:val="200"/>
          <w:marBottom w:val="0"/>
          <w:divBdr>
            <w:top w:val="none" w:sz="0" w:space="0" w:color="auto"/>
            <w:left w:val="none" w:sz="0" w:space="0" w:color="auto"/>
            <w:bottom w:val="none" w:sz="0" w:space="0" w:color="auto"/>
            <w:right w:val="none" w:sz="0" w:space="0" w:color="auto"/>
          </w:divBdr>
        </w:div>
      </w:divsChild>
    </w:div>
    <w:div w:id="2120950671">
      <w:bodyDiv w:val="1"/>
      <w:marLeft w:val="0"/>
      <w:marRight w:val="0"/>
      <w:marTop w:val="0"/>
      <w:marBottom w:val="0"/>
      <w:divBdr>
        <w:top w:val="none" w:sz="0" w:space="0" w:color="auto"/>
        <w:left w:val="none" w:sz="0" w:space="0" w:color="auto"/>
        <w:bottom w:val="none" w:sz="0" w:space="0" w:color="auto"/>
        <w:right w:val="none" w:sz="0" w:space="0" w:color="auto"/>
      </w:divBdr>
    </w:div>
    <w:div w:id="2123724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mailto:amar@margasrilanka.org&#160;" TargetMode="External"/><Relationship Id="rId26" Type="http://schemas.openxmlformats.org/officeDocument/2006/relationships/image" Target="media/image4.emf"/><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footer" Target="footer7.xml"/><Relationship Id="rId33"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4.xm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4.xml"/><Relationship Id="rId32" Type="http://schemas.openxmlformats.org/officeDocument/2006/relationships/image" Target="media/image8.jpeg"/><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3.emf"/><Relationship Id="rId28" Type="http://schemas.openxmlformats.org/officeDocument/2006/relationships/image" Target="media/image6.emf"/><Relationship Id="rId10" Type="http://schemas.openxmlformats.org/officeDocument/2006/relationships/endnotes" Target="endnotes.xml"/><Relationship Id="rId19" Type="http://schemas.openxmlformats.org/officeDocument/2006/relationships/header" Target="header3.xml"/><Relationship Id="rId31"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6.xml"/><Relationship Id="rId27" Type="http://schemas.openxmlformats.org/officeDocument/2006/relationships/image" Target="media/image5.png"/><Relationship Id="rId30" Type="http://schemas.openxmlformats.org/officeDocument/2006/relationships/footer" Target="footer8.xml"/><Relationship Id="rId35" Type="http://schemas.openxmlformats.org/officeDocument/2006/relationships/theme" Target="theme/theme1.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chemonics.com/projects/improving-sri-lankas-justice-system/" TargetMode="External"/><Relationship Id="rId2" Type="http://schemas.openxmlformats.org/officeDocument/2006/relationships/hyperlink" Target="https://www.unicef.org/executiveboard/media/12511/file/2022-PL37-Sri_Lanka_CPD-EN-ODS.pdf" TargetMode="External"/><Relationship Id="rId1" Type="http://schemas.openxmlformats.org/officeDocument/2006/relationships/hyperlink" Target="https://www.unicef.org/executiveboard/media/12511/file/2022-PL37-Sri_Lanka_CPD-EN-ODS.pdf" TargetMode="External"/><Relationship Id="rId6" Type="http://schemas.openxmlformats.org/officeDocument/2006/relationships/hyperlink" Target="https://rm.coe.int/protection-of-children-against-sexual-exploitation-and-abuse-child-fri/168079426a" TargetMode="External"/><Relationship Id="rId5" Type="http://schemas.openxmlformats.org/officeDocument/2006/relationships/hyperlink" Target="https://www.undp.org/kyrgyzstan/press-releases/new-legal-aid-office-inaugurated-kadamjay-will-expand-access-justice" TargetMode="External"/><Relationship Id="rId4" Type="http://schemas.openxmlformats.org/officeDocument/2006/relationships/hyperlink" Target="https://www.gchumanrights.org/category/preparedness/environ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rgbClr val="C6BD8A"/>
        </a:solidFill>
        <a:ln w="6350">
          <a:solidFill>
            <a:prstClr val="black"/>
          </a:solidFill>
        </a:ln>
        <a:effectLst>
          <a:outerShdw blurRad="50800" dist="38100" dir="2700000" algn="tl" rotWithShape="0">
            <a:prstClr val="black"/>
          </a:outerShdw>
        </a:effectLst>
      </a:spPr>
      <a:bodyPr rot="0" spcFirstLastPara="0" vertOverflow="overflow" horzOverflow="overflow" vert="horz" wrap="none" lIns="182880" tIns="182880" rIns="182880" bIns="182880" numCol="1" spcCol="0" rtlCol="0" fromWordArt="0" anchor="t" anchorCtr="0" forceAA="0" compatLnSpc="1">
        <a:prstTxWarp prst="textNoShape">
          <a:avLst/>
        </a:prstTxWarp>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B019CC0-A36A-904C-8D26-2DF742B10CCA}">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B0434 - Sri Lanka - Colombo</OfficeCountry>
    <DocumentStatus xmlns="d9cf0e28-81d2-4dc7-8b10-820d80ed680d">Draft</DocumentStatus>
    <DocCoverageEndDate xmlns="d9cf0e28-81d2-4dc7-8b10-820d80ed680d">2025-01-08T05:00:00+00:00</DocCoverageEndDate>
    <FunctionalArea xmlns="d9cf0e28-81d2-4dc7-8b10-820d80ed680d">Programme and Project</FunctionalArea>
    <FileNameDescription xmlns="d9cf0e28-81d2-4dc7-8b10-820d80ed680d">Mid term Evaluation Report JULEDarft 19 February 2025</FileNameDescription>
    <ProjectNumber xmlns="d9cf0e28-81d2-4dc7-8b10-820d80ed680d">00117979</ProjectNumber>
    <DocumentType xmlns="d9cf0e28-81d2-4dc7-8b10-820d80ed680d">Evaluation Report</DocumentType>
    <Language xmlns="d9cf0e28-81d2-4dc7-8b10-820d80ed680d">English</Language>
    <AuthorName xmlns="d9cf0e28-81d2-4dc7-8b10-820d80ed680d">UNDP</AuthorName>
    <DocumentCategory xmlns="d9cf0e28-81d2-4dc7-8b10-820d80ed680d">Project</DocumentCategory>
    <OperatingUnit xmlns="d9cf0e28-81d2-4dc7-8b10-820d80ed680d">UNDP-LKA</OperatingUnit>
    <FocusArea xmlns="d9cf0e28-81d2-4dc7-8b10-820d80ed680d">Managing for Results/RBM</FocusArea>
    <DocCoverageStartDate xmlns="d9cf0e28-81d2-4dc7-8b10-820d80ed680d">2024-09-06T04:00:00+00:00</DocCoverageStartDate>
    <FileClassificationMode xmlns="d9cf0e28-81d2-4dc7-8b10-820d80ed680d">Public</FileClassificationMode>
    <OutputNumber xmlns="d9cf0e28-81d2-4dc7-8b10-820d80ed680d">00129929</OutputNumbe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E9361F-BBC0-419A-AFF5-E83516F60B44}">
  <ds:schemaRefs>
    <ds:schemaRef ds:uri="http://schemas.microsoft.com/office/2006/metadata/properties"/>
    <ds:schemaRef ds:uri="http://schemas.microsoft.com/office/infopath/2007/PartnerControls"/>
    <ds:schemaRef ds:uri="77c0f161-a1d7-4793-8a31-3323112573b5"/>
    <ds:schemaRef ds:uri="985ec44e-1bab-4c0b-9df0-6ba128686fc9"/>
  </ds:schemaRefs>
</ds:datastoreItem>
</file>

<file path=customXml/itemProps2.xml><?xml version="1.0" encoding="utf-8"?>
<ds:datastoreItem xmlns:ds="http://schemas.openxmlformats.org/officeDocument/2006/customXml" ds:itemID="{D64821F0-320D-460A-88EE-06C99ED904B2}"/>
</file>

<file path=customXml/itemProps3.xml><?xml version="1.0" encoding="utf-8"?>
<ds:datastoreItem xmlns:ds="http://schemas.openxmlformats.org/officeDocument/2006/customXml" ds:itemID="{DB64BD35-524F-1946-A8A8-283A54843862}">
  <ds:schemaRefs>
    <ds:schemaRef ds:uri="http://schemas.openxmlformats.org/officeDocument/2006/bibliography"/>
  </ds:schemaRefs>
</ds:datastoreItem>
</file>

<file path=customXml/itemProps4.xml><?xml version="1.0" encoding="utf-8"?>
<ds:datastoreItem xmlns:ds="http://schemas.openxmlformats.org/officeDocument/2006/customXml" ds:itemID="{EC8CC88B-C579-4952-BE68-5B5576E045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76</Pages>
  <Words>40075</Words>
  <Characters>228434</Characters>
  <Application>Microsoft Office Word</Application>
  <DocSecurity>0</DocSecurity>
  <Lines>1903</Lines>
  <Paragraphs>535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267974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Mid term Evaluation Report JULEDarft 19 February 2025</dc:title>
  <dc:subject/>
  <dc:creator>MM</dc:creator>
  <cp:keywords/>
  <dc:description/>
  <cp:lastModifiedBy>Bunafsha Gulakova</cp:lastModifiedBy>
  <cp:revision>5</cp:revision>
  <dcterms:created xsi:type="dcterms:W3CDTF">2025-02-26T11:16:00Z</dcterms:created>
  <dcterms:modified xsi:type="dcterms:W3CDTF">2025-02-26T20:22:00Z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_documentId">
    <vt:lpwstr>documentId_5590</vt:lpwstr>
  </property>
  <property fmtid="{D5CDD505-2E9C-101B-9397-08002B2CF9AE}" pid="4" name="grammarly_documentContext">
    <vt:lpwstr>{"goals":[],"domain":"general","emotions":[],"dialect":"british"}</vt:lpwstr>
  </property>
  <property fmtid="{D5CDD505-2E9C-101B-9397-08002B2CF9AE}" pid="5" name="MediaServiceImageTags">
    <vt:lpwstr/>
  </property>
</Properties>
</file>